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jc w:val="center"/>
        <w:rPr>
          <w:rFonts w:ascii="Times New Roman" w:hAnsi="Times New Roman" w:eastAsia="方正仿宋_GBK" w:cs="Times New Roman"/>
          <w:sz w:val="32"/>
          <w:szCs w:val="32"/>
        </w:rPr>
      </w:pPr>
      <w:r>
        <w:rPr>
          <w:rFonts w:ascii="Times New Roman" w:hAnsi="Times New Roman" w:eastAsia="方正小标宋简体" w:cs="Times New Roman"/>
          <w:color w:val="444444"/>
          <w:kern w:val="0"/>
          <w:sz w:val="44"/>
          <w:szCs w:val="44"/>
        </w:rPr>
        <w:t>行政执法事项目录</w:t>
      </w:r>
    </w:p>
    <w:p>
      <w:pPr>
        <w:spacing w:line="580" w:lineRule="exact"/>
        <w:ind w:firstLine="280" w:firstLineChars="100"/>
        <w:rPr>
          <w:rFonts w:ascii="Times New Roman" w:hAnsi="Times New Roman" w:eastAsia="方正仿宋_GBK" w:cs="Times New Roman"/>
          <w:sz w:val="28"/>
          <w:szCs w:val="28"/>
        </w:rPr>
      </w:pPr>
      <w:r>
        <w:rPr>
          <w:rFonts w:ascii="Times New Roman" w:hAnsi="Times New Roman" w:eastAsia="方正仿宋_GBK" w:cs="Times New Roman"/>
          <w:color w:val="444444"/>
          <w:kern w:val="0"/>
          <w:sz w:val="28"/>
          <w:szCs w:val="28"/>
        </w:rPr>
        <w:t>填报单位（盖章）：</w:t>
      </w:r>
      <w:r>
        <w:rPr>
          <w:rFonts w:hint="eastAsia" w:ascii="Times New Roman" w:hAnsi="Times New Roman" w:eastAsia="方正仿宋_GBK" w:cs="Times New Roman"/>
          <w:color w:val="444444"/>
          <w:kern w:val="0"/>
          <w:sz w:val="28"/>
          <w:szCs w:val="28"/>
          <w:lang w:val="en-US" w:eastAsia="zh-CN"/>
        </w:rPr>
        <w:t>扬州市消防救援局</w:t>
      </w:r>
      <w:r>
        <w:rPr>
          <w:rFonts w:ascii="Times New Roman" w:hAnsi="Times New Roman" w:eastAsia="方正仿宋_GBK" w:cs="Times New Roman"/>
          <w:color w:val="444444"/>
          <w:kern w:val="0"/>
          <w:sz w:val="28"/>
          <w:szCs w:val="28"/>
        </w:rPr>
        <w:t xml:space="preserve">   </w:t>
      </w:r>
      <w:r>
        <w:rPr>
          <w:rFonts w:hint="eastAsia" w:ascii="Times New Roman" w:hAnsi="Times New Roman" w:eastAsia="方正仿宋_GBK" w:cs="Times New Roman"/>
          <w:color w:val="444444"/>
          <w:kern w:val="0"/>
          <w:sz w:val="28"/>
          <w:szCs w:val="28"/>
          <w:lang w:val="en-US" w:eastAsia="zh-CN"/>
        </w:rPr>
        <w:t xml:space="preserve">     </w:t>
      </w:r>
      <w:r>
        <w:rPr>
          <w:rFonts w:ascii="Times New Roman" w:hAnsi="Times New Roman" w:eastAsia="方正仿宋_GBK" w:cs="Times New Roman"/>
          <w:color w:val="444444"/>
          <w:kern w:val="0"/>
          <w:sz w:val="28"/>
          <w:szCs w:val="28"/>
        </w:rPr>
        <w:t xml:space="preserve"> 填报人：</w:t>
      </w:r>
      <w:r>
        <w:rPr>
          <w:rFonts w:hint="eastAsia" w:ascii="Times New Roman" w:hAnsi="Times New Roman" w:eastAsia="方正仿宋_GBK" w:cs="Times New Roman"/>
          <w:color w:val="444444"/>
          <w:kern w:val="0"/>
          <w:sz w:val="28"/>
          <w:szCs w:val="28"/>
          <w:lang w:val="en-US" w:eastAsia="zh-CN"/>
        </w:rPr>
        <w:t>徐伟</w:t>
      </w:r>
      <w:r>
        <w:rPr>
          <w:rFonts w:ascii="Times New Roman" w:hAnsi="Times New Roman" w:eastAsia="方正仿宋_GBK" w:cs="Times New Roman"/>
          <w:color w:val="444444"/>
          <w:kern w:val="0"/>
          <w:sz w:val="28"/>
          <w:szCs w:val="28"/>
        </w:rPr>
        <w:t xml:space="preserve">      </w:t>
      </w:r>
      <w:r>
        <w:rPr>
          <w:rFonts w:hint="eastAsia" w:ascii="Times New Roman" w:hAnsi="Times New Roman" w:eastAsia="方正仿宋_GBK" w:cs="Times New Roman"/>
          <w:color w:val="444444"/>
          <w:kern w:val="0"/>
          <w:sz w:val="28"/>
          <w:szCs w:val="28"/>
          <w:lang w:val="en-US" w:eastAsia="zh-CN"/>
        </w:rPr>
        <w:t xml:space="preserve"> </w:t>
      </w:r>
      <w:bookmarkStart w:id="0" w:name="_GoBack"/>
      <w:bookmarkEnd w:id="0"/>
      <w:r>
        <w:rPr>
          <w:rFonts w:ascii="Times New Roman" w:hAnsi="Times New Roman" w:eastAsia="方正仿宋_GBK" w:cs="Times New Roman"/>
          <w:color w:val="444444"/>
          <w:kern w:val="0"/>
          <w:sz w:val="28"/>
          <w:szCs w:val="28"/>
        </w:rPr>
        <w:t xml:space="preserve">     填报</w:t>
      </w:r>
      <w:r>
        <w:rPr>
          <w:rFonts w:hint="eastAsia" w:ascii="Times New Roman" w:hAnsi="Times New Roman" w:eastAsia="方正仿宋_GBK" w:cs="Times New Roman"/>
          <w:color w:val="444444"/>
          <w:kern w:val="0"/>
          <w:sz w:val="28"/>
          <w:szCs w:val="28"/>
        </w:rPr>
        <w:t>日期</w:t>
      </w:r>
      <w:r>
        <w:rPr>
          <w:rFonts w:ascii="Times New Roman" w:hAnsi="Times New Roman" w:eastAsia="方正仿宋_GBK" w:cs="Times New Roman"/>
          <w:color w:val="444444"/>
          <w:kern w:val="0"/>
          <w:sz w:val="28"/>
          <w:szCs w:val="28"/>
        </w:rPr>
        <w:t>：202</w:t>
      </w:r>
      <w:r>
        <w:rPr>
          <w:rFonts w:hint="eastAsia" w:ascii="Times New Roman" w:hAnsi="Times New Roman" w:eastAsia="方正仿宋_GBK" w:cs="Times New Roman"/>
          <w:color w:val="444444"/>
          <w:kern w:val="0"/>
          <w:sz w:val="28"/>
          <w:szCs w:val="28"/>
          <w:lang w:val="en-US" w:eastAsia="zh-CN"/>
        </w:rPr>
        <w:t>6</w:t>
      </w:r>
      <w:r>
        <w:rPr>
          <w:rFonts w:ascii="Times New Roman" w:hAnsi="Times New Roman" w:eastAsia="方正仿宋_GBK" w:cs="Times New Roman"/>
          <w:color w:val="444444"/>
          <w:kern w:val="0"/>
          <w:sz w:val="28"/>
          <w:szCs w:val="28"/>
        </w:rPr>
        <w:t>年</w:t>
      </w:r>
      <w:r>
        <w:rPr>
          <w:rFonts w:hint="eastAsia" w:ascii="Times New Roman" w:hAnsi="Times New Roman" w:eastAsia="方正仿宋_GBK" w:cs="Times New Roman"/>
          <w:color w:val="444444"/>
          <w:kern w:val="0"/>
          <w:sz w:val="28"/>
          <w:szCs w:val="28"/>
          <w:lang w:val="en-US" w:eastAsia="zh-CN"/>
        </w:rPr>
        <w:t>7</w:t>
      </w:r>
      <w:r>
        <w:rPr>
          <w:rFonts w:ascii="Times New Roman" w:hAnsi="Times New Roman" w:eastAsia="方正仿宋_GBK" w:cs="Times New Roman"/>
          <w:color w:val="444444"/>
          <w:kern w:val="0"/>
          <w:sz w:val="28"/>
          <w:szCs w:val="28"/>
        </w:rPr>
        <w:t>月</w:t>
      </w:r>
      <w:r>
        <w:rPr>
          <w:rFonts w:hint="eastAsia" w:ascii="Times New Roman" w:hAnsi="Times New Roman" w:eastAsia="方正仿宋_GBK" w:cs="Times New Roman"/>
          <w:color w:val="444444"/>
          <w:kern w:val="0"/>
          <w:sz w:val="28"/>
          <w:szCs w:val="28"/>
          <w:lang w:val="en-US" w:eastAsia="zh-CN"/>
        </w:rPr>
        <w:t>16</w:t>
      </w:r>
      <w:r>
        <w:rPr>
          <w:rFonts w:ascii="Times New Roman" w:hAnsi="Times New Roman" w:eastAsia="方正仿宋_GBK" w:cs="Times New Roman"/>
          <w:color w:val="444444"/>
          <w:kern w:val="0"/>
          <w:sz w:val="28"/>
          <w:szCs w:val="28"/>
        </w:rPr>
        <w:t>日</w:t>
      </w:r>
    </w:p>
    <w:tbl>
      <w:tblPr>
        <w:tblStyle w:val="3"/>
        <w:tblW w:w="13533" w:type="dxa"/>
        <w:jc w:val="cente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758"/>
        <w:gridCol w:w="3108"/>
        <w:gridCol w:w="1286"/>
        <w:gridCol w:w="4253"/>
        <w:gridCol w:w="2126"/>
        <w:gridCol w:w="992"/>
        <w:gridCol w:w="1010"/>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1229" w:hRule="atLeast"/>
          <w:jc w:val="center"/>
        </w:trPr>
        <w:tc>
          <w:tcPr>
            <w:tcW w:w="758" w:type="dxa"/>
            <w:vAlign w:val="center"/>
          </w:tcPr>
          <w:p>
            <w:pPr>
              <w:widowControl/>
              <w:spacing w:line="320" w:lineRule="exact"/>
              <w:jc w:val="center"/>
              <w:rPr>
                <w:rFonts w:hint="eastAsia" w:ascii="仿宋_GB2312" w:hAnsi="仿宋_GB2312" w:eastAsia="仿宋_GB2312" w:cs="仿宋_GB2312"/>
                <w:b/>
                <w:color w:val="auto"/>
                <w:kern w:val="0"/>
                <w:sz w:val="20"/>
                <w:szCs w:val="20"/>
              </w:rPr>
            </w:pPr>
            <w:r>
              <w:rPr>
                <w:rFonts w:hint="eastAsia" w:ascii="仿宋_GB2312" w:hAnsi="仿宋_GB2312" w:eastAsia="仿宋_GB2312" w:cs="仿宋_GB2312"/>
                <w:b/>
                <w:color w:val="auto"/>
                <w:kern w:val="0"/>
                <w:sz w:val="20"/>
                <w:szCs w:val="20"/>
              </w:rPr>
              <w:t>序号</w:t>
            </w:r>
          </w:p>
        </w:tc>
        <w:tc>
          <w:tcPr>
            <w:tcW w:w="3108" w:type="dxa"/>
            <w:vAlign w:val="center"/>
          </w:tcPr>
          <w:p>
            <w:pPr>
              <w:widowControl/>
              <w:spacing w:line="320" w:lineRule="exact"/>
              <w:jc w:val="center"/>
              <w:rPr>
                <w:rFonts w:hint="eastAsia" w:ascii="仿宋_GB2312" w:hAnsi="仿宋_GB2312" w:eastAsia="仿宋_GB2312" w:cs="仿宋_GB2312"/>
                <w:b/>
                <w:color w:val="auto"/>
                <w:kern w:val="0"/>
                <w:sz w:val="20"/>
                <w:szCs w:val="20"/>
              </w:rPr>
            </w:pPr>
            <w:r>
              <w:rPr>
                <w:rFonts w:hint="eastAsia" w:ascii="仿宋_GB2312" w:hAnsi="仿宋_GB2312" w:eastAsia="仿宋_GB2312" w:cs="仿宋_GB2312"/>
                <w:b/>
                <w:color w:val="auto"/>
                <w:kern w:val="0"/>
                <w:sz w:val="20"/>
                <w:szCs w:val="20"/>
              </w:rPr>
              <w:t>事项名称</w:t>
            </w:r>
          </w:p>
        </w:tc>
        <w:tc>
          <w:tcPr>
            <w:tcW w:w="1286" w:type="dxa"/>
            <w:vAlign w:val="center"/>
          </w:tcPr>
          <w:p>
            <w:pPr>
              <w:widowControl/>
              <w:snapToGrid w:val="0"/>
              <w:spacing w:line="320" w:lineRule="exact"/>
              <w:jc w:val="center"/>
              <w:rPr>
                <w:rFonts w:hint="eastAsia" w:ascii="仿宋_GB2312" w:hAnsi="仿宋_GB2312" w:eastAsia="仿宋_GB2312" w:cs="仿宋_GB2312"/>
                <w:b/>
                <w:color w:val="auto"/>
                <w:kern w:val="0"/>
                <w:sz w:val="20"/>
                <w:szCs w:val="20"/>
              </w:rPr>
            </w:pPr>
            <w:r>
              <w:rPr>
                <w:rFonts w:hint="eastAsia" w:ascii="仿宋_GB2312" w:hAnsi="仿宋_GB2312" w:eastAsia="仿宋_GB2312" w:cs="仿宋_GB2312"/>
                <w:b/>
                <w:color w:val="auto"/>
                <w:kern w:val="0"/>
                <w:sz w:val="20"/>
                <w:szCs w:val="20"/>
              </w:rPr>
              <w:t>行政执法类型</w:t>
            </w:r>
          </w:p>
        </w:tc>
        <w:tc>
          <w:tcPr>
            <w:tcW w:w="4253" w:type="dxa"/>
            <w:vAlign w:val="center"/>
          </w:tcPr>
          <w:p>
            <w:pPr>
              <w:widowControl/>
              <w:spacing w:line="320" w:lineRule="exact"/>
              <w:jc w:val="center"/>
              <w:rPr>
                <w:rFonts w:hint="eastAsia" w:ascii="仿宋_GB2312" w:hAnsi="仿宋_GB2312" w:eastAsia="仿宋_GB2312" w:cs="仿宋_GB2312"/>
                <w:b/>
                <w:color w:val="auto"/>
                <w:kern w:val="0"/>
                <w:sz w:val="20"/>
                <w:szCs w:val="20"/>
              </w:rPr>
            </w:pPr>
            <w:r>
              <w:rPr>
                <w:rFonts w:hint="eastAsia" w:ascii="仿宋_GB2312" w:hAnsi="仿宋_GB2312" w:eastAsia="仿宋_GB2312" w:cs="仿宋_GB2312"/>
                <w:b/>
                <w:color w:val="auto"/>
                <w:kern w:val="0"/>
                <w:sz w:val="20"/>
                <w:szCs w:val="20"/>
              </w:rPr>
              <w:t>执法依据</w:t>
            </w:r>
          </w:p>
        </w:tc>
        <w:tc>
          <w:tcPr>
            <w:tcW w:w="2126" w:type="dxa"/>
            <w:vAlign w:val="center"/>
          </w:tcPr>
          <w:p>
            <w:pPr>
              <w:widowControl/>
              <w:snapToGrid w:val="0"/>
              <w:spacing w:line="320" w:lineRule="exact"/>
              <w:jc w:val="center"/>
              <w:rPr>
                <w:rFonts w:hint="eastAsia" w:ascii="仿宋_GB2312" w:hAnsi="仿宋_GB2312" w:eastAsia="仿宋_GB2312" w:cs="仿宋_GB2312"/>
                <w:b/>
                <w:color w:val="auto"/>
                <w:kern w:val="0"/>
                <w:sz w:val="20"/>
                <w:szCs w:val="20"/>
              </w:rPr>
            </w:pPr>
            <w:r>
              <w:rPr>
                <w:rFonts w:hint="eastAsia" w:ascii="仿宋_GB2312" w:hAnsi="仿宋_GB2312" w:eastAsia="仿宋_GB2312" w:cs="仿宋_GB2312"/>
                <w:b/>
                <w:color w:val="auto"/>
                <w:kern w:val="0"/>
                <w:sz w:val="20"/>
                <w:szCs w:val="20"/>
              </w:rPr>
              <w:t>承办机构</w:t>
            </w:r>
          </w:p>
        </w:tc>
        <w:tc>
          <w:tcPr>
            <w:tcW w:w="992" w:type="dxa"/>
            <w:vAlign w:val="center"/>
          </w:tcPr>
          <w:p>
            <w:pPr>
              <w:widowControl/>
              <w:snapToGrid w:val="0"/>
              <w:spacing w:line="320" w:lineRule="exact"/>
              <w:jc w:val="center"/>
              <w:rPr>
                <w:rFonts w:hint="eastAsia" w:ascii="仿宋_GB2312" w:hAnsi="仿宋_GB2312" w:eastAsia="仿宋_GB2312" w:cs="仿宋_GB2312"/>
                <w:b/>
                <w:color w:val="auto"/>
                <w:kern w:val="0"/>
                <w:sz w:val="20"/>
                <w:szCs w:val="20"/>
              </w:rPr>
            </w:pPr>
            <w:r>
              <w:rPr>
                <w:rFonts w:hint="eastAsia" w:ascii="仿宋_GB2312" w:hAnsi="仿宋_GB2312" w:eastAsia="仿宋_GB2312" w:cs="仿宋_GB2312"/>
                <w:b/>
                <w:color w:val="auto"/>
                <w:kern w:val="0"/>
                <w:sz w:val="20"/>
                <w:szCs w:val="20"/>
              </w:rPr>
              <w:t>执法</w:t>
            </w:r>
          </w:p>
          <w:p>
            <w:pPr>
              <w:widowControl/>
              <w:snapToGrid w:val="0"/>
              <w:spacing w:line="320" w:lineRule="exact"/>
              <w:jc w:val="center"/>
              <w:rPr>
                <w:rFonts w:hint="eastAsia" w:ascii="仿宋_GB2312" w:hAnsi="仿宋_GB2312" w:eastAsia="仿宋_GB2312" w:cs="仿宋_GB2312"/>
                <w:b/>
                <w:color w:val="auto"/>
                <w:kern w:val="0"/>
                <w:sz w:val="20"/>
                <w:szCs w:val="20"/>
              </w:rPr>
            </w:pPr>
            <w:r>
              <w:rPr>
                <w:rFonts w:hint="eastAsia" w:ascii="仿宋_GB2312" w:hAnsi="仿宋_GB2312" w:eastAsia="仿宋_GB2312" w:cs="仿宋_GB2312"/>
                <w:b/>
                <w:color w:val="auto"/>
                <w:kern w:val="0"/>
                <w:sz w:val="20"/>
                <w:szCs w:val="20"/>
              </w:rPr>
              <w:t>范围</w:t>
            </w:r>
          </w:p>
        </w:tc>
        <w:tc>
          <w:tcPr>
            <w:tcW w:w="1010" w:type="dxa"/>
            <w:vAlign w:val="center"/>
          </w:tcPr>
          <w:p>
            <w:pPr>
              <w:widowControl/>
              <w:spacing w:line="320" w:lineRule="exact"/>
              <w:jc w:val="center"/>
              <w:rPr>
                <w:rFonts w:hint="eastAsia" w:ascii="仿宋_GB2312" w:hAnsi="仿宋_GB2312" w:eastAsia="仿宋_GB2312" w:cs="仿宋_GB2312"/>
                <w:b/>
                <w:color w:val="auto"/>
                <w:kern w:val="0"/>
                <w:sz w:val="20"/>
                <w:szCs w:val="20"/>
              </w:rPr>
            </w:pPr>
            <w:r>
              <w:rPr>
                <w:rFonts w:hint="eastAsia" w:ascii="仿宋_GB2312" w:hAnsi="仿宋_GB2312" w:eastAsia="仿宋_GB2312" w:cs="仿宋_GB2312"/>
                <w:b/>
                <w:color w:val="auto"/>
                <w:kern w:val="0"/>
                <w:sz w:val="20"/>
                <w:szCs w:val="20"/>
              </w:rPr>
              <w:t>备注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10" w:hRule="atLeast"/>
          <w:jc w:val="center"/>
        </w:trPr>
        <w:tc>
          <w:tcPr>
            <w:tcW w:w="758" w:type="dxa"/>
            <w:vAlign w:val="center"/>
          </w:tcPr>
          <w:p>
            <w:pPr>
              <w:numPr>
                <w:ilvl w:val="0"/>
                <w:numId w:val="1"/>
              </w:numPr>
              <w:spacing w:line="240" w:lineRule="exact"/>
              <w:ind w:left="425" w:leftChars="0" w:hanging="425" w:firstLineChars="0"/>
              <w:jc w:val="center"/>
              <w:rPr>
                <w:rFonts w:hint="eastAsia" w:ascii="仿宋_GB2312" w:hAnsi="仿宋_GB2312" w:eastAsia="仿宋_GB2312" w:cs="仿宋_GB2312"/>
                <w:color w:val="auto"/>
                <w:sz w:val="20"/>
                <w:szCs w:val="20"/>
                <w:lang w:val="en-US" w:eastAsia="zh-CN"/>
              </w:rPr>
            </w:pPr>
          </w:p>
        </w:tc>
        <w:tc>
          <w:tcPr>
            <w:tcW w:w="3108" w:type="dxa"/>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对公众聚集场所未经消防救援机构许可擅自投入使用、营业或者经核查发现场所使用、营业情况与承诺内容不符的行政处罚</w:t>
            </w:r>
          </w:p>
        </w:tc>
        <w:tc>
          <w:tcPr>
            <w:tcW w:w="1286" w:type="dxa"/>
            <w:vAlign w:val="center"/>
          </w:tcPr>
          <w:p>
            <w:pPr>
              <w:numPr>
                <w:ilvl w:val="0"/>
                <w:numId w:val="2"/>
              </w:numPr>
              <w:spacing w:line="240" w:lineRule="exact"/>
              <w:ind w:left="425" w:leftChars="0" w:hanging="425" w:firstLineChars="0"/>
              <w:rPr>
                <w:rFonts w:hint="eastAsia" w:ascii="仿宋_GB2312" w:hAnsi="仿宋_GB2312" w:eastAsia="仿宋_GB2312" w:cs="仿宋_GB2312"/>
                <w:color w:val="auto"/>
                <w:sz w:val="20"/>
                <w:szCs w:val="20"/>
                <w:lang w:val="en-US" w:eastAsia="zh-CN"/>
              </w:rPr>
            </w:pPr>
          </w:p>
        </w:tc>
        <w:tc>
          <w:tcPr>
            <w:tcW w:w="4253" w:type="dxa"/>
            <w:vAlign w:val="center"/>
          </w:tcPr>
          <w:p>
            <w:pPr>
              <w:keepNext w:val="0"/>
              <w:keepLines w:val="0"/>
              <w:widowControl/>
              <w:suppressLineNumbers w:val="0"/>
              <w:jc w:val="left"/>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《中华人民共和国消防法》第五十八条第一款第四项  公众聚集场所未经消防救援机构许可，擅自投入使用、营业的，或者经核查发现场所使用、营业情况与承诺内容不符的，消防救援机构按照职权责令停止施工、停止使用或者停产停业，并处三万元以上三十万元以下罚款。</w:t>
            </w:r>
          </w:p>
        </w:tc>
        <w:tc>
          <w:tcPr>
            <w:tcW w:w="2126" w:type="dxa"/>
            <w:vAlign w:val="center"/>
          </w:tcPr>
          <w:p>
            <w:pPr>
              <w:numPr>
                <w:ilvl w:val="0"/>
                <w:numId w:val="3"/>
              </w:numPr>
              <w:spacing w:line="240" w:lineRule="exact"/>
              <w:ind w:left="425" w:leftChars="0" w:hanging="425" w:firstLineChars="0"/>
              <w:rPr>
                <w:rFonts w:hint="eastAsia" w:ascii="仿宋_GB2312" w:hAnsi="仿宋_GB2312" w:eastAsia="仿宋_GB2312" w:cs="仿宋_GB2312"/>
                <w:color w:val="auto"/>
                <w:sz w:val="20"/>
                <w:szCs w:val="20"/>
                <w:lang w:val="en-US" w:eastAsia="zh-CN"/>
              </w:rPr>
            </w:pPr>
          </w:p>
        </w:tc>
        <w:tc>
          <w:tcPr>
            <w:tcW w:w="992" w:type="dxa"/>
            <w:vAlign w:val="center"/>
          </w:tcPr>
          <w:p>
            <w:pPr>
              <w:numPr>
                <w:ilvl w:val="0"/>
                <w:numId w:val="4"/>
              </w:numPr>
              <w:spacing w:line="240" w:lineRule="exact"/>
              <w:ind w:left="425" w:leftChars="0" w:hanging="425" w:firstLineChars="0"/>
              <w:rPr>
                <w:rFonts w:hint="eastAsia" w:ascii="仿宋_GB2312" w:hAnsi="仿宋_GB2312" w:eastAsia="仿宋_GB2312" w:cs="仿宋_GB2312"/>
                <w:color w:val="auto"/>
                <w:sz w:val="20"/>
                <w:szCs w:val="20"/>
                <w:lang w:val="en-US" w:eastAsia="zh-CN"/>
              </w:rPr>
            </w:pPr>
          </w:p>
        </w:tc>
        <w:tc>
          <w:tcPr>
            <w:tcW w:w="1010" w:type="dxa"/>
            <w:vAlign w:val="center"/>
          </w:tcPr>
          <w:p>
            <w:pPr>
              <w:spacing w:line="240" w:lineRule="exact"/>
              <w:rPr>
                <w:rFonts w:hint="eastAsia" w:ascii="仿宋_GB2312" w:hAnsi="仿宋_GB2312" w:eastAsia="仿宋_GB2312" w:cs="仿宋_GB2312"/>
                <w:color w:val="auto"/>
                <w:sz w:val="20"/>
                <w:szCs w:val="20"/>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10" w:hRule="atLeast"/>
          <w:jc w:val="center"/>
        </w:trPr>
        <w:tc>
          <w:tcPr>
            <w:tcW w:w="758" w:type="dxa"/>
            <w:vAlign w:val="center"/>
          </w:tcPr>
          <w:p>
            <w:pPr>
              <w:numPr>
                <w:ilvl w:val="0"/>
                <w:numId w:val="1"/>
              </w:numPr>
              <w:spacing w:line="240" w:lineRule="exact"/>
              <w:ind w:left="425" w:leftChars="0" w:hanging="425" w:firstLineChars="0"/>
              <w:jc w:val="center"/>
              <w:rPr>
                <w:rFonts w:hint="eastAsia" w:ascii="仿宋_GB2312" w:hAnsi="仿宋_GB2312" w:eastAsia="仿宋_GB2312" w:cs="仿宋_GB2312"/>
                <w:color w:val="auto"/>
                <w:sz w:val="20"/>
                <w:szCs w:val="20"/>
                <w:lang w:val="en-US" w:eastAsia="zh-CN"/>
              </w:rPr>
            </w:pPr>
          </w:p>
        </w:tc>
        <w:tc>
          <w:tcPr>
            <w:tcW w:w="3108" w:type="dxa"/>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对消防设施、器材、消防安全标志配置、设置不符合标准，或者未保持完好有效的行政处罚</w:t>
            </w:r>
          </w:p>
        </w:tc>
        <w:tc>
          <w:tcPr>
            <w:tcW w:w="1286" w:type="dxa"/>
            <w:vAlign w:val="center"/>
          </w:tcPr>
          <w:p>
            <w:pPr>
              <w:numPr>
                <w:ilvl w:val="0"/>
                <w:numId w:val="2"/>
              </w:numPr>
              <w:spacing w:line="240" w:lineRule="exact"/>
              <w:ind w:left="425" w:leftChars="0" w:hanging="425" w:firstLineChars="0"/>
              <w:rPr>
                <w:rFonts w:hint="eastAsia" w:ascii="仿宋_GB2312" w:hAnsi="仿宋_GB2312" w:eastAsia="仿宋_GB2312" w:cs="仿宋_GB2312"/>
                <w:color w:val="auto"/>
                <w:sz w:val="20"/>
                <w:szCs w:val="20"/>
              </w:rPr>
            </w:pPr>
          </w:p>
        </w:tc>
        <w:tc>
          <w:tcPr>
            <w:tcW w:w="4253" w:type="dxa"/>
            <w:vAlign w:val="center"/>
          </w:tcPr>
          <w:p>
            <w:pPr>
              <w:keepNext w:val="0"/>
              <w:keepLines w:val="0"/>
              <w:widowControl/>
              <w:suppressLineNumbers w:val="0"/>
              <w:jc w:val="left"/>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《中华人民共和国消防法》第六十条第一款第一项  消防设施、器材或者消防安全标志的配置、设置不符合国家标准、行业标准,或者未保持完好有效的;单位违反本法规定,责令改正,处五千元以上五万元以下罚款。</w:t>
            </w:r>
          </w:p>
        </w:tc>
        <w:tc>
          <w:tcPr>
            <w:tcW w:w="2126" w:type="dxa"/>
            <w:vAlign w:val="center"/>
          </w:tcPr>
          <w:p>
            <w:pPr>
              <w:numPr>
                <w:ilvl w:val="0"/>
                <w:numId w:val="3"/>
              </w:numPr>
              <w:spacing w:line="240" w:lineRule="exact"/>
              <w:ind w:left="425" w:leftChars="0" w:hanging="425" w:firstLineChars="0"/>
              <w:rPr>
                <w:rFonts w:hint="eastAsia" w:ascii="仿宋_GB2312" w:hAnsi="仿宋_GB2312" w:eastAsia="仿宋_GB2312" w:cs="仿宋_GB2312"/>
                <w:color w:val="auto"/>
                <w:sz w:val="20"/>
                <w:szCs w:val="20"/>
              </w:rPr>
            </w:pPr>
          </w:p>
        </w:tc>
        <w:tc>
          <w:tcPr>
            <w:tcW w:w="992" w:type="dxa"/>
            <w:vAlign w:val="center"/>
          </w:tcPr>
          <w:p>
            <w:pPr>
              <w:numPr>
                <w:ilvl w:val="0"/>
                <w:numId w:val="4"/>
              </w:numPr>
              <w:spacing w:line="240" w:lineRule="exact"/>
              <w:ind w:left="425" w:leftChars="0" w:hanging="425" w:firstLineChars="0"/>
              <w:rPr>
                <w:rFonts w:hint="eastAsia" w:ascii="仿宋_GB2312" w:hAnsi="仿宋_GB2312" w:eastAsia="仿宋_GB2312" w:cs="仿宋_GB2312"/>
                <w:color w:val="auto"/>
                <w:sz w:val="20"/>
                <w:szCs w:val="20"/>
              </w:rPr>
            </w:pPr>
          </w:p>
        </w:tc>
        <w:tc>
          <w:tcPr>
            <w:tcW w:w="1010" w:type="dxa"/>
            <w:vAlign w:val="center"/>
          </w:tcPr>
          <w:p>
            <w:pPr>
              <w:spacing w:line="240" w:lineRule="exact"/>
              <w:rPr>
                <w:rFonts w:hint="eastAsia" w:ascii="仿宋_GB2312" w:hAnsi="仿宋_GB2312" w:eastAsia="仿宋_GB2312" w:cs="仿宋_GB2312"/>
                <w:color w:val="auto"/>
                <w:sz w:val="20"/>
                <w:szCs w:val="20"/>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55" w:hRule="atLeast"/>
          <w:jc w:val="center"/>
        </w:trPr>
        <w:tc>
          <w:tcPr>
            <w:tcW w:w="758" w:type="dxa"/>
            <w:vAlign w:val="center"/>
          </w:tcPr>
          <w:p>
            <w:pPr>
              <w:numPr>
                <w:ilvl w:val="0"/>
                <w:numId w:val="1"/>
              </w:numPr>
              <w:spacing w:line="240" w:lineRule="exact"/>
              <w:ind w:left="425" w:leftChars="0" w:hanging="425" w:firstLineChars="0"/>
              <w:jc w:val="center"/>
              <w:rPr>
                <w:rFonts w:hint="eastAsia" w:ascii="仿宋_GB2312" w:hAnsi="仿宋_GB2312" w:eastAsia="仿宋_GB2312" w:cs="仿宋_GB2312"/>
                <w:color w:val="auto"/>
                <w:sz w:val="20"/>
                <w:szCs w:val="20"/>
                <w:lang w:val="en-US" w:eastAsia="zh-CN"/>
              </w:rPr>
            </w:pPr>
          </w:p>
        </w:tc>
        <w:tc>
          <w:tcPr>
            <w:tcW w:w="3108" w:type="dxa"/>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对损坏、挪用或者擅自拆除、停用消防设施、器材的行政处罚</w:t>
            </w:r>
          </w:p>
        </w:tc>
        <w:tc>
          <w:tcPr>
            <w:tcW w:w="1286" w:type="dxa"/>
            <w:vAlign w:val="center"/>
          </w:tcPr>
          <w:p>
            <w:pPr>
              <w:numPr>
                <w:ilvl w:val="0"/>
                <w:numId w:val="2"/>
              </w:numPr>
              <w:spacing w:line="240" w:lineRule="exact"/>
              <w:ind w:left="425" w:leftChars="0" w:hanging="425" w:firstLineChars="0"/>
              <w:rPr>
                <w:rFonts w:hint="eastAsia" w:ascii="仿宋_GB2312" w:hAnsi="仿宋_GB2312" w:eastAsia="仿宋_GB2312" w:cs="仿宋_GB2312"/>
                <w:color w:val="auto"/>
                <w:sz w:val="20"/>
                <w:szCs w:val="20"/>
              </w:rPr>
            </w:pPr>
          </w:p>
        </w:tc>
        <w:tc>
          <w:tcPr>
            <w:tcW w:w="4253" w:type="dxa"/>
            <w:vAlign w:val="center"/>
          </w:tcPr>
          <w:p>
            <w:pPr>
              <w:keepNext w:val="0"/>
              <w:keepLines w:val="0"/>
              <w:widowControl/>
              <w:suppressLineNumbers w:val="0"/>
              <w:jc w:val="left"/>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《中华人民共和国消防法》第六十条第一款第二项   损坏、挪用或者擅自拆除、停用消防设施、器材的，单位违反本法规定,责令改正,处五千元以上五万元以下罚款；个人处警告或者五百元以下罚款。</w:t>
            </w:r>
          </w:p>
        </w:tc>
        <w:tc>
          <w:tcPr>
            <w:tcW w:w="2126" w:type="dxa"/>
            <w:vAlign w:val="center"/>
          </w:tcPr>
          <w:p>
            <w:pPr>
              <w:numPr>
                <w:ilvl w:val="0"/>
                <w:numId w:val="3"/>
              </w:numPr>
              <w:spacing w:line="240" w:lineRule="exact"/>
              <w:ind w:left="425" w:leftChars="0" w:hanging="425" w:firstLineChars="0"/>
              <w:rPr>
                <w:rFonts w:hint="eastAsia" w:ascii="仿宋_GB2312" w:hAnsi="仿宋_GB2312" w:eastAsia="仿宋_GB2312" w:cs="仿宋_GB2312"/>
                <w:color w:val="auto"/>
                <w:sz w:val="20"/>
                <w:szCs w:val="20"/>
              </w:rPr>
            </w:pPr>
          </w:p>
        </w:tc>
        <w:tc>
          <w:tcPr>
            <w:tcW w:w="992" w:type="dxa"/>
            <w:vAlign w:val="center"/>
          </w:tcPr>
          <w:p>
            <w:pPr>
              <w:numPr>
                <w:ilvl w:val="0"/>
                <w:numId w:val="4"/>
              </w:numPr>
              <w:spacing w:line="240" w:lineRule="exact"/>
              <w:ind w:left="425" w:leftChars="0" w:hanging="425" w:firstLineChars="0"/>
              <w:rPr>
                <w:rFonts w:hint="eastAsia" w:ascii="仿宋_GB2312" w:hAnsi="仿宋_GB2312" w:eastAsia="仿宋_GB2312" w:cs="仿宋_GB2312"/>
                <w:color w:val="auto"/>
                <w:sz w:val="20"/>
                <w:szCs w:val="20"/>
              </w:rPr>
            </w:pPr>
          </w:p>
        </w:tc>
        <w:tc>
          <w:tcPr>
            <w:tcW w:w="1010" w:type="dxa"/>
            <w:vAlign w:val="center"/>
          </w:tcPr>
          <w:p>
            <w:pPr>
              <w:spacing w:line="240" w:lineRule="exact"/>
              <w:rPr>
                <w:rFonts w:hint="eastAsia" w:ascii="仿宋_GB2312" w:hAnsi="仿宋_GB2312" w:eastAsia="仿宋_GB2312" w:cs="仿宋_GB2312"/>
                <w:color w:val="auto"/>
                <w:sz w:val="20"/>
                <w:szCs w:val="20"/>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55" w:hRule="atLeast"/>
          <w:jc w:val="center"/>
        </w:trPr>
        <w:tc>
          <w:tcPr>
            <w:tcW w:w="758" w:type="dxa"/>
            <w:vAlign w:val="center"/>
          </w:tcPr>
          <w:p>
            <w:pPr>
              <w:numPr>
                <w:ilvl w:val="0"/>
                <w:numId w:val="1"/>
              </w:numPr>
              <w:spacing w:line="240" w:lineRule="exact"/>
              <w:ind w:left="425" w:leftChars="0" w:hanging="425" w:firstLineChars="0"/>
              <w:jc w:val="center"/>
              <w:rPr>
                <w:rFonts w:hint="eastAsia" w:ascii="仿宋_GB2312" w:hAnsi="仿宋_GB2312" w:eastAsia="仿宋_GB2312" w:cs="仿宋_GB2312"/>
                <w:color w:val="auto"/>
                <w:sz w:val="20"/>
                <w:szCs w:val="20"/>
                <w:lang w:val="en-US" w:eastAsia="zh-CN"/>
              </w:rPr>
            </w:pPr>
          </w:p>
        </w:tc>
        <w:tc>
          <w:tcPr>
            <w:tcW w:w="3108" w:type="dxa"/>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对占用、堵塞、封闭疏散通道、安全出口或者有其他妨碍安全疏散行为的行政处罚</w:t>
            </w:r>
          </w:p>
        </w:tc>
        <w:tc>
          <w:tcPr>
            <w:tcW w:w="1286" w:type="dxa"/>
            <w:vAlign w:val="center"/>
          </w:tcPr>
          <w:p>
            <w:pPr>
              <w:numPr>
                <w:ilvl w:val="0"/>
                <w:numId w:val="2"/>
              </w:numPr>
              <w:spacing w:line="240" w:lineRule="exact"/>
              <w:ind w:left="425" w:leftChars="0" w:hanging="425" w:firstLineChars="0"/>
              <w:rPr>
                <w:rFonts w:hint="eastAsia" w:ascii="仿宋_GB2312" w:hAnsi="仿宋_GB2312" w:eastAsia="仿宋_GB2312" w:cs="仿宋_GB2312"/>
                <w:color w:val="auto"/>
                <w:sz w:val="20"/>
                <w:szCs w:val="20"/>
              </w:rPr>
            </w:pPr>
          </w:p>
        </w:tc>
        <w:tc>
          <w:tcPr>
            <w:tcW w:w="4253" w:type="dxa"/>
            <w:vAlign w:val="center"/>
          </w:tcPr>
          <w:p>
            <w:pPr>
              <w:keepNext w:val="0"/>
              <w:keepLines w:val="0"/>
              <w:widowControl/>
              <w:suppressLineNumbers w:val="0"/>
              <w:jc w:val="left"/>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《中华人民共和国消防法》第六十条第一款第三项   堵塞、封闭疏散通道、安全出口或者有其他妨碍安全疏散行为的，单位违反本法规定,责令改正,处五千元以上五万元以下罚款，经责令改正拒不改正的,强制执行,所需费用由违法行为人承担；个人处警告或者五百元以下罚款。</w:t>
            </w:r>
          </w:p>
        </w:tc>
        <w:tc>
          <w:tcPr>
            <w:tcW w:w="2126" w:type="dxa"/>
            <w:vAlign w:val="center"/>
          </w:tcPr>
          <w:p>
            <w:pPr>
              <w:numPr>
                <w:ilvl w:val="0"/>
                <w:numId w:val="3"/>
              </w:numPr>
              <w:spacing w:line="240" w:lineRule="exact"/>
              <w:ind w:left="425" w:leftChars="0" w:hanging="425" w:firstLineChars="0"/>
              <w:rPr>
                <w:rFonts w:hint="eastAsia" w:ascii="仿宋_GB2312" w:hAnsi="仿宋_GB2312" w:eastAsia="仿宋_GB2312" w:cs="仿宋_GB2312"/>
                <w:color w:val="auto"/>
                <w:sz w:val="20"/>
                <w:szCs w:val="20"/>
              </w:rPr>
            </w:pPr>
          </w:p>
        </w:tc>
        <w:tc>
          <w:tcPr>
            <w:tcW w:w="992" w:type="dxa"/>
            <w:vAlign w:val="center"/>
          </w:tcPr>
          <w:p>
            <w:pPr>
              <w:numPr>
                <w:ilvl w:val="0"/>
                <w:numId w:val="4"/>
              </w:numPr>
              <w:spacing w:line="240" w:lineRule="exact"/>
              <w:ind w:left="425" w:leftChars="0" w:hanging="425" w:firstLineChars="0"/>
              <w:rPr>
                <w:rFonts w:hint="eastAsia" w:ascii="仿宋_GB2312" w:hAnsi="仿宋_GB2312" w:eastAsia="仿宋_GB2312" w:cs="仿宋_GB2312"/>
                <w:color w:val="auto"/>
                <w:sz w:val="20"/>
                <w:szCs w:val="20"/>
              </w:rPr>
            </w:pPr>
          </w:p>
        </w:tc>
        <w:tc>
          <w:tcPr>
            <w:tcW w:w="1010" w:type="dxa"/>
            <w:vAlign w:val="center"/>
          </w:tcPr>
          <w:p>
            <w:pPr>
              <w:spacing w:line="240" w:lineRule="exact"/>
              <w:rPr>
                <w:rFonts w:hint="eastAsia" w:ascii="仿宋_GB2312" w:hAnsi="仿宋_GB2312" w:eastAsia="仿宋_GB2312" w:cs="仿宋_GB2312"/>
                <w:color w:val="auto"/>
                <w:sz w:val="20"/>
                <w:szCs w:val="20"/>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55" w:hRule="atLeast"/>
          <w:jc w:val="center"/>
        </w:trPr>
        <w:tc>
          <w:tcPr>
            <w:tcW w:w="758" w:type="dxa"/>
            <w:vAlign w:val="center"/>
          </w:tcPr>
          <w:p>
            <w:pPr>
              <w:numPr>
                <w:ilvl w:val="0"/>
                <w:numId w:val="1"/>
              </w:numPr>
              <w:spacing w:line="240" w:lineRule="exact"/>
              <w:ind w:left="425" w:leftChars="0" w:hanging="425" w:firstLineChars="0"/>
              <w:jc w:val="center"/>
              <w:rPr>
                <w:rFonts w:hint="eastAsia" w:ascii="仿宋_GB2312" w:hAnsi="仿宋_GB2312" w:eastAsia="仿宋_GB2312" w:cs="仿宋_GB2312"/>
                <w:color w:val="auto"/>
                <w:sz w:val="20"/>
                <w:szCs w:val="20"/>
                <w:lang w:val="en-US" w:eastAsia="zh-CN"/>
              </w:rPr>
            </w:pPr>
          </w:p>
        </w:tc>
        <w:tc>
          <w:tcPr>
            <w:tcW w:w="3108" w:type="dxa"/>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对埋压、圈占、遮挡消火栓或者占用防火间距的行政处罚</w:t>
            </w:r>
          </w:p>
        </w:tc>
        <w:tc>
          <w:tcPr>
            <w:tcW w:w="1286" w:type="dxa"/>
            <w:vAlign w:val="center"/>
          </w:tcPr>
          <w:p>
            <w:pPr>
              <w:numPr>
                <w:ilvl w:val="0"/>
                <w:numId w:val="2"/>
              </w:numPr>
              <w:spacing w:line="240" w:lineRule="exact"/>
              <w:ind w:left="425" w:leftChars="0" w:hanging="425" w:firstLineChars="0"/>
              <w:rPr>
                <w:rFonts w:hint="eastAsia" w:ascii="仿宋_GB2312" w:hAnsi="仿宋_GB2312" w:eastAsia="仿宋_GB2312" w:cs="仿宋_GB2312"/>
                <w:color w:val="auto"/>
                <w:sz w:val="20"/>
                <w:szCs w:val="20"/>
              </w:rPr>
            </w:pPr>
          </w:p>
        </w:tc>
        <w:tc>
          <w:tcPr>
            <w:tcW w:w="4253" w:type="dxa"/>
            <w:vAlign w:val="center"/>
          </w:tcPr>
          <w:p>
            <w:pPr>
              <w:keepNext w:val="0"/>
              <w:keepLines w:val="0"/>
              <w:widowControl/>
              <w:suppressLineNumbers w:val="0"/>
              <w:jc w:val="left"/>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《中华人民共和国消防法》第六十条第一款第四项  埋压、圈占、遮挡消火栓或者占用防火间距的，单位违反本法规定,责令改正,处五千元以上五万元以下罚款，经责令改正拒不改正的,强制执行,所需费用由违法行为人承担；个人处警告或者五百元以下罚款。</w:t>
            </w:r>
          </w:p>
        </w:tc>
        <w:tc>
          <w:tcPr>
            <w:tcW w:w="2126" w:type="dxa"/>
            <w:vAlign w:val="center"/>
          </w:tcPr>
          <w:p>
            <w:pPr>
              <w:numPr>
                <w:ilvl w:val="0"/>
                <w:numId w:val="3"/>
              </w:numPr>
              <w:spacing w:line="240" w:lineRule="exact"/>
              <w:ind w:left="425" w:leftChars="0" w:hanging="425" w:firstLineChars="0"/>
              <w:rPr>
                <w:rFonts w:hint="eastAsia" w:ascii="仿宋_GB2312" w:hAnsi="仿宋_GB2312" w:eastAsia="仿宋_GB2312" w:cs="仿宋_GB2312"/>
                <w:color w:val="auto"/>
                <w:sz w:val="20"/>
                <w:szCs w:val="20"/>
              </w:rPr>
            </w:pPr>
          </w:p>
        </w:tc>
        <w:tc>
          <w:tcPr>
            <w:tcW w:w="992" w:type="dxa"/>
            <w:vAlign w:val="center"/>
          </w:tcPr>
          <w:p>
            <w:pPr>
              <w:numPr>
                <w:ilvl w:val="0"/>
                <w:numId w:val="4"/>
              </w:numPr>
              <w:spacing w:line="240" w:lineRule="exact"/>
              <w:ind w:left="425" w:leftChars="0" w:hanging="425" w:firstLineChars="0"/>
              <w:rPr>
                <w:rFonts w:hint="eastAsia" w:ascii="仿宋_GB2312" w:hAnsi="仿宋_GB2312" w:eastAsia="仿宋_GB2312" w:cs="仿宋_GB2312"/>
                <w:color w:val="auto"/>
                <w:sz w:val="20"/>
                <w:szCs w:val="20"/>
              </w:rPr>
            </w:pPr>
          </w:p>
        </w:tc>
        <w:tc>
          <w:tcPr>
            <w:tcW w:w="1010" w:type="dxa"/>
            <w:vAlign w:val="center"/>
          </w:tcPr>
          <w:p>
            <w:pPr>
              <w:spacing w:line="240" w:lineRule="exact"/>
              <w:rPr>
                <w:rFonts w:hint="eastAsia" w:ascii="仿宋_GB2312" w:hAnsi="仿宋_GB2312" w:eastAsia="仿宋_GB2312" w:cs="仿宋_GB2312"/>
                <w:color w:val="auto"/>
                <w:sz w:val="20"/>
                <w:szCs w:val="20"/>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55" w:hRule="atLeast"/>
          <w:jc w:val="center"/>
        </w:trPr>
        <w:tc>
          <w:tcPr>
            <w:tcW w:w="758" w:type="dxa"/>
            <w:vAlign w:val="center"/>
          </w:tcPr>
          <w:p>
            <w:pPr>
              <w:numPr>
                <w:ilvl w:val="0"/>
                <w:numId w:val="1"/>
              </w:numPr>
              <w:spacing w:line="240" w:lineRule="exact"/>
              <w:ind w:left="425" w:leftChars="0" w:hanging="425" w:firstLineChars="0"/>
              <w:jc w:val="center"/>
              <w:rPr>
                <w:rFonts w:hint="eastAsia" w:ascii="仿宋_GB2312" w:hAnsi="仿宋_GB2312" w:eastAsia="仿宋_GB2312" w:cs="仿宋_GB2312"/>
                <w:color w:val="auto"/>
                <w:sz w:val="20"/>
                <w:szCs w:val="20"/>
                <w:lang w:val="en-US" w:eastAsia="zh-CN"/>
              </w:rPr>
            </w:pPr>
          </w:p>
        </w:tc>
        <w:tc>
          <w:tcPr>
            <w:tcW w:w="3108" w:type="dxa"/>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对占用、堵塞、封闭消防车通道，妨碍消防车通行的行政处罚</w:t>
            </w:r>
          </w:p>
        </w:tc>
        <w:tc>
          <w:tcPr>
            <w:tcW w:w="1286" w:type="dxa"/>
            <w:vAlign w:val="center"/>
          </w:tcPr>
          <w:p>
            <w:pPr>
              <w:numPr>
                <w:ilvl w:val="0"/>
                <w:numId w:val="2"/>
              </w:numPr>
              <w:spacing w:line="240" w:lineRule="exact"/>
              <w:ind w:left="425" w:leftChars="0" w:hanging="425" w:firstLineChars="0"/>
              <w:rPr>
                <w:rFonts w:hint="eastAsia" w:ascii="仿宋_GB2312" w:hAnsi="仿宋_GB2312" w:eastAsia="仿宋_GB2312" w:cs="仿宋_GB2312"/>
                <w:color w:val="auto"/>
                <w:sz w:val="20"/>
                <w:szCs w:val="20"/>
              </w:rPr>
            </w:pPr>
          </w:p>
        </w:tc>
        <w:tc>
          <w:tcPr>
            <w:tcW w:w="4253" w:type="dxa"/>
            <w:vAlign w:val="center"/>
          </w:tcPr>
          <w:p>
            <w:pPr>
              <w:keepNext w:val="0"/>
              <w:keepLines w:val="0"/>
              <w:widowControl/>
              <w:suppressLineNumbers w:val="0"/>
              <w:jc w:val="left"/>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《中华人民共和国消防法》第六十条第一款第五项  占用、堵塞、封闭消防车通道，妨碍消防车通行的，单位违反本法规定,责令改正,处五千元以上五万元以下罚款，经责令改正拒不改正的,强制执行,所需费用由违法行为人承担；个人处警告或者五百元以下罚款。</w:t>
            </w:r>
          </w:p>
        </w:tc>
        <w:tc>
          <w:tcPr>
            <w:tcW w:w="2126" w:type="dxa"/>
            <w:vAlign w:val="center"/>
          </w:tcPr>
          <w:p>
            <w:pPr>
              <w:numPr>
                <w:ilvl w:val="0"/>
                <w:numId w:val="3"/>
              </w:numPr>
              <w:spacing w:line="240" w:lineRule="exact"/>
              <w:ind w:left="425" w:leftChars="0" w:hanging="425" w:firstLineChars="0"/>
              <w:rPr>
                <w:rFonts w:hint="eastAsia" w:ascii="仿宋_GB2312" w:hAnsi="仿宋_GB2312" w:eastAsia="仿宋_GB2312" w:cs="仿宋_GB2312"/>
                <w:color w:val="auto"/>
                <w:sz w:val="20"/>
                <w:szCs w:val="20"/>
              </w:rPr>
            </w:pPr>
          </w:p>
        </w:tc>
        <w:tc>
          <w:tcPr>
            <w:tcW w:w="992" w:type="dxa"/>
            <w:vAlign w:val="center"/>
          </w:tcPr>
          <w:p>
            <w:pPr>
              <w:numPr>
                <w:ilvl w:val="0"/>
                <w:numId w:val="4"/>
              </w:numPr>
              <w:spacing w:line="240" w:lineRule="exact"/>
              <w:ind w:left="425" w:leftChars="0" w:hanging="425" w:firstLineChars="0"/>
              <w:rPr>
                <w:rFonts w:hint="eastAsia" w:ascii="仿宋_GB2312" w:hAnsi="仿宋_GB2312" w:eastAsia="仿宋_GB2312" w:cs="仿宋_GB2312"/>
                <w:color w:val="auto"/>
                <w:sz w:val="20"/>
                <w:szCs w:val="20"/>
              </w:rPr>
            </w:pPr>
          </w:p>
        </w:tc>
        <w:tc>
          <w:tcPr>
            <w:tcW w:w="1010" w:type="dxa"/>
            <w:vAlign w:val="center"/>
          </w:tcPr>
          <w:p>
            <w:pPr>
              <w:spacing w:line="240" w:lineRule="exact"/>
              <w:rPr>
                <w:rFonts w:hint="eastAsia" w:ascii="仿宋_GB2312" w:hAnsi="仿宋_GB2312" w:eastAsia="仿宋_GB2312" w:cs="仿宋_GB2312"/>
                <w:color w:val="auto"/>
                <w:sz w:val="20"/>
                <w:szCs w:val="20"/>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55" w:hRule="atLeast"/>
          <w:jc w:val="center"/>
        </w:trPr>
        <w:tc>
          <w:tcPr>
            <w:tcW w:w="758" w:type="dxa"/>
            <w:vAlign w:val="center"/>
          </w:tcPr>
          <w:p>
            <w:pPr>
              <w:numPr>
                <w:ilvl w:val="0"/>
                <w:numId w:val="1"/>
              </w:numPr>
              <w:spacing w:line="240" w:lineRule="exact"/>
              <w:ind w:left="425" w:leftChars="0" w:hanging="425" w:firstLineChars="0"/>
              <w:jc w:val="center"/>
              <w:rPr>
                <w:rFonts w:hint="eastAsia" w:ascii="仿宋_GB2312" w:hAnsi="仿宋_GB2312" w:eastAsia="仿宋_GB2312" w:cs="仿宋_GB2312"/>
                <w:color w:val="auto"/>
                <w:sz w:val="20"/>
                <w:szCs w:val="20"/>
                <w:lang w:val="en-US" w:eastAsia="zh-CN"/>
              </w:rPr>
            </w:pPr>
          </w:p>
        </w:tc>
        <w:tc>
          <w:tcPr>
            <w:tcW w:w="3108" w:type="dxa"/>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对人员密集场所门窗设置影响逃生和灭火救援的障碍物的行政处罚</w:t>
            </w:r>
          </w:p>
        </w:tc>
        <w:tc>
          <w:tcPr>
            <w:tcW w:w="1286" w:type="dxa"/>
            <w:vAlign w:val="center"/>
          </w:tcPr>
          <w:p>
            <w:pPr>
              <w:numPr>
                <w:ilvl w:val="0"/>
                <w:numId w:val="2"/>
              </w:numPr>
              <w:spacing w:line="240" w:lineRule="exact"/>
              <w:ind w:left="425" w:leftChars="0" w:hanging="425" w:firstLineChars="0"/>
              <w:rPr>
                <w:rFonts w:hint="eastAsia" w:ascii="仿宋_GB2312" w:hAnsi="仿宋_GB2312" w:eastAsia="仿宋_GB2312" w:cs="仿宋_GB2312"/>
                <w:color w:val="auto"/>
                <w:sz w:val="20"/>
                <w:szCs w:val="20"/>
              </w:rPr>
            </w:pPr>
          </w:p>
        </w:tc>
        <w:tc>
          <w:tcPr>
            <w:tcW w:w="4253" w:type="dxa"/>
            <w:vAlign w:val="center"/>
          </w:tcPr>
          <w:p>
            <w:pPr>
              <w:keepNext w:val="0"/>
              <w:keepLines w:val="0"/>
              <w:widowControl/>
              <w:suppressLineNumbers w:val="0"/>
              <w:jc w:val="left"/>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《中华人民共和国消防法》第六十条第一款第六项  人员密集场所在门窗上设置影响逃生和灭火救援的障碍物的，单位违反本法规定,责令改正,处五千元以上五万元以下罚款，经责令改正拒不改正的,强制执行,所需费用由违法行为人承担。</w:t>
            </w:r>
          </w:p>
        </w:tc>
        <w:tc>
          <w:tcPr>
            <w:tcW w:w="2126" w:type="dxa"/>
            <w:vAlign w:val="center"/>
          </w:tcPr>
          <w:p>
            <w:pPr>
              <w:numPr>
                <w:ilvl w:val="0"/>
                <w:numId w:val="3"/>
              </w:numPr>
              <w:spacing w:line="240" w:lineRule="exact"/>
              <w:ind w:left="425" w:leftChars="0" w:hanging="425" w:firstLineChars="0"/>
              <w:rPr>
                <w:rFonts w:hint="eastAsia" w:ascii="仿宋_GB2312" w:hAnsi="仿宋_GB2312" w:eastAsia="仿宋_GB2312" w:cs="仿宋_GB2312"/>
                <w:color w:val="auto"/>
                <w:sz w:val="20"/>
                <w:szCs w:val="20"/>
              </w:rPr>
            </w:pPr>
          </w:p>
        </w:tc>
        <w:tc>
          <w:tcPr>
            <w:tcW w:w="992" w:type="dxa"/>
            <w:vAlign w:val="center"/>
          </w:tcPr>
          <w:p>
            <w:pPr>
              <w:numPr>
                <w:ilvl w:val="0"/>
                <w:numId w:val="4"/>
              </w:numPr>
              <w:spacing w:line="240" w:lineRule="exact"/>
              <w:ind w:left="425" w:leftChars="0" w:hanging="425" w:firstLineChars="0"/>
              <w:rPr>
                <w:rFonts w:hint="eastAsia" w:ascii="仿宋_GB2312" w:hAnsi="仿宋_GB2312" w:eastAsia="仿宋_GB2312" w:cs="仿宋_GB2312"/>
                <w:color w:val="auto"/>
                <w:sz w:val="20"/>
                <w:szCs w:val="20"/>
              </w:rPr>
            </w:pPr>
          </w:p>
        </w:tc>
        <w:tc>
          <w:tcPr>
            <w:tcW w:w="1010" w:type="dxa"/>
            <w:vAlign w:val="center"/>
          </w:tcPr>
          <w:p>
            <w:pPr>
              <w:spacing w:line="240" w:lineRule="exact"/>
              <w:rPr>
                <w:rFonts w:hint="eastAsia" w:ascii="仿宋_GB2312" w:hAnsi="仿宋_GB2312" w:eastAsia="仿宋_GB2312" w:cs="仿宋_GB2312"/>
                <w:color w:val="auto"/>
                <w:sz w:val="20"/>
                <w:szCs w:val="20"/>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55" w:hRule="atLeast"/>
          <w:jc w:val="center"/>
        </w:trPr>
        <w:tc>
          <w:tcPr>
            <w:tcW w:w="758" w:type="dxa"/>
            <w:vAlign w:val="center"/>
          </w:tcPr>
          <w:p>
            <w:pPr>
              <w:numPr>
                <w:ilvl w:val="0"/>
                <w:numId w:val="1"/>
              </w:numPr>
              <w:spacing w:line="240" w:lineRule="exact"/>
              <w:ind w:left="425" w:leftChars="0" w:hanging="425" w:firstLineChars="0"/>
              <w:jc w:val="center"/>
              <w:rPr>
                <w:rFonts w:hint="eastAsia" w:ascii="仿宋_GB2312" w:hAnsi="仿宋_GB2312" w:eastAsia="仿宋_GB2312" w:cs="仿宋_GB2312"/>
                <w:color w:val="auto"/>
                <w:sz w:val="20"/>
                <w:szCs w:val="20"/>
                <w:lang w:val="en-US" w:eastAsia="zh-CN"/>
              </w:rPr>
            </w:pPr>
          </w:p>
        </w:tc>
        <w:tc>
          <w:tcPr>
            <w:tcW w:w="3108" w:type="dxa"/>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对不及时消除火灾隐患的行政处罚</w:t>
            </w:r>
          </w:p>
        </w:tc>
        <w:tc>
          <w:tcPr>
            <w:tcW w:w="1286" w:type="dxa"/>
            <w:vAlign w:val="center"/>
          </w:tcPr>
          <w:p>
            <w:pPr>
              <w:numPr>
                <w:ilvl w:val="0"/>
                <w:numId w:val="2"/>
              </w:numPr>
              <w:spacing w:line="240" w:lineRule="exact"/>
              <w:ind w:left="425" w:leftChars="0" w:hanging="425" w:firstLineChars="0"/>
              <w:rPr>
                <w:rFonts w:hint="eastAsia" w:ascii="仿宋_GB2312" w:hAnsi="仿宋_GB2312" w:eastAsia="仿宋_GB2312" w:cs="仿宋_GB2312"/>
                <w:color w:val="auto"/>
                <w:sz w:val="20"/>
                <w:szCs w:val="20"/>
              </w:rPr>
            </w:pPr>
          </w:p>
        </w:tc>
        <w:tc>
          <w:tcPr>
            <w:tcW w:w="4253" w:type="dxa"/>
            <w:vAlign w:val="center"/>
          </w:tcPr>
          <w:p>
            <w:pPr>
              <w:keepNext w:val="0"/>
              <w:keepLines w:val="0"/>
              <w:widowControl/>
              <w:suppressLineNumbers w:val="0"/>
              <w:jc w:val="left"/>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《中华人民共和国消防法》第六十条第一款第七项  单位违反本法规定,责令改正,处五千元以上五万元以下罚款。</w:t>
            </w:r>
          </w:p>
        </w:tc>
        <w:tc>
          <w:tcPr>
            <w:tcW w:w="2126" w:type="dxa"/>
            <w:vAlign w:val="center"/>
          </w:tcPr>
          <w:p>
            <w:pPr>
              <w:numPr>
                <w:ilvl w:val="0"/>
                <w:numId w:val="3"/>
              </w:numPr>
              <w:spacing w:line="240" w:lineRule="exact"/>
              <w:ind w:left="425" w:leftChars="0" w:hanging="425" w:firstLineChars="0"/>
              <w:rPr>
                <w:rFonts w:hint="eastAsia" w:ascii="仿宋_GB2312" w:hAnsi="仿宋_GB2312" w:eastAsia="仿宋_GB2312" w:cs="仿宋_GB2312"/>
                <w:color w:val="auto"/>
                <w:sz w:val="20"/>
                <w:szCs w:val="20"/>
              </w:rPr>
            </w:pPr>
          </w:p>
        </w:tc>
        <w:tc>
          <w:tcPr>
            <w:tcW w:w="992" w:type="dxa"/>
            <w:vAlign w:val="center"/>
          </w:tcPr>
          <w:p>
            <w:pPr>
              <w:numPr>
                <w:ilvl w:val="0"/>
                <w:numId w:val="4"/>
              </w:numPr>
              <w:spacing w:line="240" w:lineRule="exact"/>
              <w:ind w:left="425" w:leftChars="0" w:hanging="425" w:firstLineChars="0"/>
              <w:rPr>
                <w:rFonts w:hint="eastAsia" w:ascii="仿宋_GB2312" w:hAnsi="仿宋_GB2312" w:eastAsia="仿宋_GB2312" w:cs="仿宋_GB2312"/>
                <w:color w:val="auto"/>
                <w:sz w:val="20"/>
                <w:szCs w:val="20"/>
              </w:rPr>
            </w:pPr>
          </w:p>
        </w:tc>
        <w:tc>
          <w:tcPr>
            <w:tcW w:w="1010" w:type="dxa"/>
            <w:vAlign w:val="center"/>
          </w:tcPr>
          <w:p>
            <w:pPr>
              <w:spacing w:line="240" w:lineRule="exact"/>
              <w:rPr>
                <w:rFonts w:hint="eastAsia" w:ascii="仿宋_GB2312" w:hAnsi="仿宋_GB2312" w:eastAsia="仿宋_GB2312" w:cs="仿宋_GB2312"/>
                <w:color w:val="auto"/>
                <w:sz w:val="20"/>
                <w:szCs w:val="20"/>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55" w:hRule="atLeast"/>
          <w:jc w:val="center"/>
        </w:trPr>
        <w:tc>
          <w:tcPr>
            <w:tcW w:w="758" w:type="dxa"/>
            <w:vAlign w:val="center"/>
          </w:tcPr>
          <w:p>
            <w:pPr>
              <w:numPr>
                <w:ilvl w:val="0"/>
                <w:numId w:val="1"/>
              </w:numPr>
              <w:spacing w:line="240" w:lineRule="exact"/>
              <w:ind w:left="425" w:leftChars="0" w:hanging="425" w:firstLineChars="0"/>
              <w:jc w:val="center"/>
              <w:rPr>
                <w:rFonts w:hint="eastAsia" w:ascii="仿宋_GB2312" w:hAnsi="仿宋_GB2312" w:eastAsia="仿宋_GB2312" w:cs="仿宋_GB2312"/>
                <w:color w:val="auto"/>
                <w:sz w:val="20"/>
                <w:szCs w:val="20"/>
                <w:lang w:val="en-US" w:eastAsia="zh-CN"/>
              </w:rPr>
            </w:pPr>
          </w:p>
        </w:tc>
        <w:tc>
          <w:tcPr>
            <w:tcW w:w="3108" w:type="dxa"/>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对易燃易爆危险品场所与居住场所设置在同一建筑物内，或者未与居住场所保持安全距离的行政处罚</w:t>
            </w:r>
          </w:p>
        </w:tc>
        <w:tc>
          <w:tcPr>
            <w:tcW w:w="1286" w:type="dxa"/>
            <w:vAlign w:val="center"/>
          </w:tcPr>
          <w:p>
            <w:pPr>
              <w:numPr>
                <w:ilvl w:val="0"/>
                <w:numId w:val="2"/>
              </w:numPr>
              <w:spacing w:line="240" w:lineRule="exact"/>
              <w:ind w:left="425" w:leftChars="0" w:hanging="425" w:firstLineChars="0"/>
              <w:rPr>
                <w:rFonts w:hint="eastAsia" w:ascii="仿宋_GB2312" w:hAnsi="仿宋_GB2312" w:eastAsia="仿宋_GB2312" w:cs="仿宋_GB2312"/>
                <w:color w:val="auto"/>
                <w:sz w:val="20"/>
                <w:szCs w:val="20"/>
              </w:rPr>
            </w:pPr>
          </w:p>
        </w:tc>
        <w:tc>
          <w:tcPr>
            <w:tcW w:w="4253" w:type="dxa"/>
            <w:vAlign w:val="center"/>
          </w:tcPr>
          <w:p>
            <w:pPr>
              <w:keepNext w:val="0"/>
              <w:keepLines w:val="0"/>
              <w:widowControl/>
              <w:suppressLineNumbers w:val="0"/>
              <w:jc w:val="left"/>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《中华人民共和国消防法》第六十一条第一款   生产、储存、经营易燃易爆危险品的场所与居住场所设置在同一建筑物内，或者未与居住场所保持安全距离的,责令停产停业,并处五千元以上五万元以下罚款。</w:t>
            </w:r>
          </w:p>
        </w:tc>
        <w:tc>
          <w:tcPr>
            <w:tcW w:w="2126" w:type="dxa"/>
            <w:vAlign w:val="center"/>
          </w:tcPr>
          <w:p>
            <w:pPr>
              <w:numPr>
                <w:ilvl w:val="0"/>
                <w:numId w:val="3"/>
              </w:numPr>
              <w:spacing w:line="240" w:lineRule="exact"/>
              <w:ind w:left="425" w:leftChars="0" w:hanging="425" w:firstLineChars="0"/>
              <w:rPr>
                <w:rFonts w:hint="eastAsia" w:ascii="仿宋_GB2312" w:hAnsi="仿宋_GB2312" w:eastAsia="仿宋_GB2312" w:cs="仿宋_GB2312"/>
                <w:color w:val="auto"/>
                <w:sz w:val="20"/>
                <w:szCs w:val="20"/>
              </w:rPr>
            </w:pPr>
          </w:p>
        </w:tc>
        <w:tc>
          <w:tcPr>
            <w:tcW w:w="992" w:type="dxa"/>
            <w:vAlign w:val="center"/>
          </w:tcPr>
          <w:p>
            <w:pPr>
              <w:numPr>
                <w:ilvl w:val="0"/>
                <w:numId w:val="4"/>
              </w:numPr>
              <w:spacing w:line="240" w:lineRule="exact"/>
              <w:ind w:left="425" w:leftChars="0" w:hanging="425" w:firstLineChars="0"/>
              <w:rPr>
                <w:rFonts w:hint="eastAsia" w:ascii="仿宋_GB2312" w:hAnsi="仿宋_GB2312" w:eastAsia="仿宋_GB2312" w:cs="仿宋_GB2312"/>
                <w:color w:val="auto"/>
                <w:sz w:val="20"/>
                <w:szCs w:val="20"/>
              </w:rPr>
            </w:pPr>
          </w:p>
        </w:tc>
        <w:tc>
          <w:tcPr>
            <w:tcW w:w="1010" w:type="dxa"/>
            <w:vAlign w:val="center"/>
          </w:tcPr>
          <w:p>
            <w:pPr>
              <w:spacing w:line="240" w:lineRule="exact"/>
              <w:rPr>
                <w:rFonts w:hint="eastAsia" w:ascii="仿宋_GB2312" w:hAnsi="仿宋_GB2312" w:eastAsia="仿宋_GB2312" w:cs="仿宋_GB2312"/>
                <w:color w:val="auto"/>
                <w:sz w:val="20"/>
                <w:szCs w:val="20"/>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55" w:hRule="atLeast"/>
          <w:jc w:val="center"/>
        </w:trPr>
        <w:tc>
          <w:tcPr>
            <w:tcW w:w="758" w:type="dxa"/>
            <w:vAlign w:val="center"/>
          </w:tcPr>
          <w:p>
            <w:pPr>
              <w:numPr>
                <w:ilvl w:val="0"/>
                <w:numId w:val="1"/>
              </w:numPr>
              <w:spacing w:line="240" w:lineRule="exact"/>
              <w:ind w:left="425" w:leftChars="0" w:hanging="425" w:firstLineChars="0"/>
              <w:jc w:val="both"/>
              <w:rPr>
                <w:rFonts w:hint="eastAsia" w:ascii="仿宋_GB2312" w:hAnsi="仿宋_GB2312" w:eastAsia="仿宋_GB2312" w:cs="仿宋_GB2312"/>
                <w:color w:val="auto"/>
                <w:sz w:val="20"/>
                <w:szCs w:val="20"/>
                <w:lang w:val="en-US" w:eastAsia="zh-CN"/>
              </w:rPr>
            </w:pPr>
          </w:p>
        </w:tc>
        <w:tc>
          <w:tcPr>
            <w:tcW w:w="3108" w:type="dxa"/>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对生产、储存、经营其他物品的场所与居住场所设置在同一建筑物内，不符合消防技术标准的行政处罚</w:t>
            </w:r>
          </w:p>
        </w:tc>
        <w:tc>
          <w:tcPr>
            <w:tcW w:w="1286" w:type="dxa"/>
            <w:vAlign w:val="center"/>
          </w:tcPr>
          <w:p>
            <w:pPr>
              <w:numPr>
                <w:ilvl w:val="0"/>
                <w:numId w:val="2"/>
              </w:numPr>
              <w:spacing w:line="240" w:lineRule="exact"/>
              <w:ind w:left="425" w:leftChars="0" w:hanging="425" w:firstLineChars="0"/>
              <w:rPr>
                <w:rFonts w:hint="eastAsia" w:ascii="仿宋_GB2312" w:hAnsi="仿宋_GB2312" w:eastAsia="仿宋_GB2312" w:cs="仿宋_GB2312"/>
                <w:color w:val="auto"/>
                <w:sz w:val="20"/>
                <w:szCs w:val="20"/>
              </w:rPr>
            </w:pPr>
          </w:p>
        </w:tc>
        <w:tc>
          <w:tcPr>
            <w:tcW w:w="4253" w:type="dxa"/>
            <w:vAlign w:val="center"/>
          </w:tcPr>
          <w:p>
            <w:pPr>
              <w:keepNext w:val="0"/>
              <w:keepLines w:val="0"/>
              <w:widowControl/>
              <w:suppressLineNumbers w:val="0"/>
              <w:jc w:val="left"/>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《中华人民共和国消防法》第六十一条第二款  生产、储存、经营其他物品的场所与居住场所设置在同一建筑物内，不符合消防技术标准的，责令停产停业,并处五千元以上五万元以下罚款。</w:t>
            </w:r>
          </w:p>
        </w:tc>
        <w:tc>
          <w:tcPr>
            <w:tcW w:w="2126" w:type="dxa"/>
            <w:vAlign w:val="center"/>
          </w:tcPr>
          <w:p>
            <w:pPr>
              <w:numPr>
                <w:ilvl w:val="0"/>
                <w:numId w:val="3"/>
              </w:numPr>
              <w:spacing w:line="240" w:lineRule="exact"/>
              <w:ind w:left="425" w:leftChars="0" w:hanging="425" w:firstLineChars="0"/>
              <w:rPr>
                <w:rFonts w:hint="eastAsia" w:ascii="仿宋_GB2312" w:hAnsi="仿宋_GB2312" w:eastAsia="仿宋_GB2312" w:cs="仿宋_GB2312"/>
                <w:color w:val="auto"/>
                <w:sz w:val="20"/>
                <w:szCs w:val="20"/>
              </w:rPr>
            </w:pPr>
          </w:p>
        </w:tc>
        <w:tc>
          <w:tcPr>
            <w:tcW w:w="992" w:type="dxa"/>
            <w:vAlign w:val="center"/>
          </w:tcPr>
          <w:p>
            <w:pPr>
              <w:numPr>
                <w:ilvl w:val="0"/>
                <w:numId w:val="4"/>
              </w:numPr>
              <w:spacing w:line="240" w:lineRule="exact"/>
              <w:ind w:left="425" w:leftChars="0" w:hanging="425" w:firstLineChars="0"/>
              <w:rPr>
                <w:rFonts w:hint="eastAsia" w:ascii="仿宋_GB2312" w:hAnsi="仿宋_GB2312" w:eastAsia="仿宋_GB2312" w:cs="仿宋_GB2312"/>
                <w:color w:val="auto"/>
                <w:sz w:val="20"/>
                <w:szCs w:val="20"/>
              </w:rPr>
            </w:pPr>
          </w:p>
        </w:tc>
        <w:tc>
          <w:tcPr>
            <w:tcW w:w="1010" w:type="dxa"/>
            <w:vAlign w:val="center"/>
          </w:tcPr>
          <w:p>
            <w:pPr>
              <w:spacing w:line="240" w:lineRule="exact"/>
              <w:rPr>
                <w:rFonts w:hint="eastAsia" w:ascii="仿宋_GB2312" w:hAnsi="仿宋_GB2312" w:eastAsia="仿宋_GB2312" w:cs="仿宋_GB2312"/>
                <w:color w:val="auto"/>
                <w:sz w:val="20"/>
                <w:szCs w:val="20"/>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55" w:hRule="atLeast"/>
          <w:jc w:val="center"/>
        </w:trPr>
        <w:tc>
          <w:tcPr>
            <w:tcW w:w="758" w:type="dxa"/>
            <w:vAlign w:val="center"/>
          </w:tcPr>
          <w:p>
            <w:pPr>
              <w:numPr>
                <w:ilvl w:val="0"/>
                <w:numId w:val="1"/>
              </w:numPr>
              <w:spacing w:line="240" w:lineRule="exact"/>
              <w:ind w:left="425" w:leftChars="0" w:hanging="425" w:firstLineChars="0"/>
              <w:jc w:val="both"/>
              <w:rPr>
                <w:rFonts w:hint="eastAsia" w:ascii="仿宋_GB2312" w:hAnsi="仿宋_GB2312" w:eastAsia="仿宋_GB2312" w:cs="仿宋_GB2312"/>
                <w:color w:val="auto"/>
                <w:sz w:val="20"/>
                <w:szCs w:val="20"/>
                <w:lang w:val="en-US" w:eastAsia="zh-CN"/>
              </w:rPr>
            </w:pPr>
          </w:p>
        </w:tc>
        <w:tc>
          <w:tcPr>
            <w:tcW w:w="3108" w:type="dxa"/>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对违规进入生产、储存易燃易爆危险品场所的行政处罚</w:t>
            </w:r>
          </w:p>
        </w:tc>
        <w:tc>
          <w:tcPr>
            <w:tcW w:w="1286" w:type="dxa"/>
            <w:vAlign w:val="center"/>
          </w:tcPr>
          <w:p>
            <w:pPr>
              <w:numPr>
                <w:ilvl w:val="0"/>
                <w:numId w:val="2"/>
              </w:numPr>
              <w:spacing w:line="240" w:lineRule="exact"/>
              <w:ind w:left="425" w:leftChars="0" w:hanging="425" w:firstLineChars="0"/>
              <w:rPr>
                <w:rFonts w:hint="eastAsia" w:ascii="仿宋_GB2312" w:hAnsi="仿宋_GB2312" w:eastAsia="仿宋_GB2312" w:cs="仿宋_GB2312"/>
                <w:color w:val="auto"/>
                <w:sz w:val="20"/>
                <w:szCs w:val="20"/>
              </w:rPr>
            </w:pPr>
          </w:p>
        </w:tc>
        <w:tc>
          <w:tcPr>
            <w:tcW w:w="4253" w:type="dxa"/>
            <w:vAlign w:val="center"/>
          </w:tcPr>
          <w:p>
            <w:pPr>
              <w:keepNext w:val="0"/>
              <w:keepLines w:val="0"/>
              <w:widowControl/>
              <w:suppressLineNumbers w:val="0"/>
              <w:jc w:val="left"/>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《中华人民共和国消防法》第六十三条第一项  违反消防安全规定进入生产、储存易燃易爆危险品场所的，处警告或者五百元以下罚款;情节严重的,处五日以下拘留。</w:t>
            </w:r>
          </w:p>
        </w:tc>
        <w:tc>
          <w:tcPr>
            <w:tcW w:w="2126" w:type="dxa"/>
            <w:vAlign w:val="center"/>
          </w:tcPr>
          <w:p>
            <w:pPr>
              <w:numPr>
                <w:ilvl w:val="0"/>
                <w:numId w:val="3"/>
              </w:numPr>
              <w:spacing w:line="240" w:lineRule="exact"/>
              <w:ind w:left="425" w:leftChars="0" w:hanging="425" w:firstLineChars="0"/>
              <w:rPr>
                <w:rFonts w:hint="eastAsia" w:ascii="仿宋_GB2312" w:hAnsi="仿宋_GB2312" w:eastAsia="仿宋_GB2312" w:cs="仿宋_GB2312"/>
                <w:color w:val="auto"/>
                <w:sz w:val="20"/>
                <w:szCs w:val="20"/>
              </w:rPr>
            </w:pPr>
          </w:p>
        </w:tc>
        <w:tc>
          <w:tcPr>
            <w:tcW w:w="992" w:type="dxa"/>
            <w:vAlign w:val="center"/>
          </w:tcPr>
          <w:p>
            <w:pPr>
              <w:numPr>
                <w:ilvl w:val="0"/>
                <w:numId w:val="4"/>
              </w:numPr>
              <w:spacing w:line="240" w:lineRule="exact"/>
              <w:ind w:left="425" w:leftChars="0" w:hanging="425" w:firstLineChars="0"/>
              <w:rPr>
                <w:rFonts w:hint="eastAsia" w:ascii="仿宋_GB2312" w:hAnsi="仿宋_GB2312" w:eastAsia="仿宋_GB2312" w:cs="仿宋_GB2312"/>
                <w:color w:val="auto"/>
                <w:sz w:val="20"/>
                <w:szCs w:val="20"/>
              </w:rPr>
            </w:pPr>
          </w:p>
        </w:tc>
        <w:tc>
          <w:tcPr>
            <w:tcW w:w="1010" w:type="dxa"/>
            <w:vAlign w:val="center"/>
          </w:tcPr>
          <w:p>
            <w:pPr>
              <w:spacing w:line="240" w:lineRule="exact"/>
              <w:rPr>
                <w:rFonts w:hint="eastAsia" w:ascii="仿宋_GB2312" w:hAnsi="仿宋_GB2312" w:eastAsia="仿宋_GB2312" w:cs="仿宋_GB2312"/>
                <w:color w:val="auto"/>
                <w:sz w:val="20"/>
                <w:szCs w:val="20"/>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55" w:hRule="atLeast"/>
          <w:jc w:val="center"/>
        </w:trPr>
        <w:tc>
          <w:tcPr>
            <w:tcW w:w="758" w:type="dxa"/>
            <w:vAlign w:val="center"/>
          </w:tcPr>
          <w:p>
            <w:pPr>
              <w:numPr>
                <w:ilvl w:val="0"/>
                <w:numId w:val="1"/>
              </w:numPr>
              <w:spacing w:line="240" w:lineRule="exact"/>
              <w:ind w:left="425" w:leftChars="0" w:hanging="425" w:firstLineChars="0"/>
              <w:jc w:val="both"/>
              <w:rPr>
                <w:rFonts w:hint="eastAsia" w:ascii="仿宋_GB2312" w:hAnsi="仿宋_GB2312" w:eastAsia="仿宋_GB2312" w:cs="仿宋_GB2312"/>
                <w:color w:val="auto"/>
                <w:sz w:val="20"/>
                <w:szCs w:val="20"/>
                <w:lang w:val="en-US" w:eastAsia="zh-CN"/>
              </w:rPr>
            </w:pPr>
          </w:p>
        </w:tc>
        <w:tc>
          <w:tcPr>
            <w:tcW w:w="3108" w:type="dxa"/>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对违反规定使用明火作业或者在具有火灾、爆炸危险的场所吸烟、使用明火的行政处罚</w:t>
            </w:r>
          </w:p>
        </w:tc>
        <w:tc>
          <w:tcPr>
            <w:tcW w:w="1286" w:type="dxa"/>
            <w:vAlign w:val="center"/>
          </w:tcPr>
          <w:p>
            <w:pPr>
              <w:numPr>
                <w:ilvl w:val="0"/>
                <w:numId w:val="2"/>
              </w:numPr>
              <w:spacing w:line="240" w:lineRule="exact"/>
              <w:ind w:left="425" w:leftChars="0" w:hanging="425" w:firstLineChars="0"/>
              <w:rPr>
                <w:rFonts w:hint="eastAsia" w:ascii="仿宋_GB2312" w:hAnsi="仿宋_GB2312" w:eastAsia="仿宋_GB2312" w:cs="仿宋_GB2312"/>
                <w:color w:val="auto"/>
                <w:sz w:val="20"/>
                <w:szCs w:val="20"/>
              </w:rPr>
            </w:pPr>
          </w:p>
        </w:tc>
        <w:tc>
          <w:tcPr>
            <w:tcW w:w="4253" w:type="dxa"/>
            <w:vAlign w:val="center"/>
          </w:tcPr>
          <w:p>
            <w:pPr>
              <w:keepNext w:val="0"/>
              <w:keepLines w:val="0"/>
              <w:widowControl/>
              <w:suppressLineNumbers w:val="0"/>
              <w:jc w:val="left"/>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《中华人民共和国消防法》第六十三条第二项  违反规定在具有火灾、爆炸危险的场所吸烟、使用明火的，处警告或者五百元以下罚款;情节严重的,处五日以下拘留。</w:t>
            </w:r>
          </w:p>
        </w:tc>
        <w:tc>
          <w:tcPr>
            <w:tcW w:w="2126" w:type="dxa"/>
            <w:vAlign w:val="center"/>
          </w:tcPr>
          <w:p>
            <w:pPr>
              <w:numPr>
                <w:ilvl w:val="0"/>
                <w:numId w:val="3"/>
              </w:numPr>
              <w:spacing w:line="240" w:lineRule="exact"/>
              <w:ind w:left="425" w:leftChars="0" w:hanging="425" w:firstLineChars="0"/>
              <w:rPr>
                <w:rFonts w:hint="eastAsia" w:ascii="仿宋_GB2312" w:hAnsi="仿宋_GB2312" w:eastAsia="仿宋_GB2312" w:cs="仿宋_GB2312"/>
                <w:color w:val="auto"/>
                <w:sz w:val="20"/>
                <w:szCs w:val="20"/>
              </w:rPr>
            </w:pPr>
          </w:p>
        </w:tc>
        <w:tc>
          <w:tcPr>
            <w:tcW w:w="992" w:type="dxa"/>
            <w:vAlign w:val="center"/>
          </w:tcPr>
          <w:p>
            <w:pPr>
              <w:numPr>
                <w:ilvl w:val="0"/>
                <w:numId w:val="4"/>
              </w:numPr>
              <w:spacing w:line="240" w:lineRule="exact"/>
              <w:ind w:left="425" w:leftChars="0" w:hanging="425" w:firstLineChars="0"/>
              <w:rPr>
                <w:rFonts w:hint="eastAsia" w:ascii="仿宋_GB2312" w:hAnsi="仿宋_GB2312" w:eastAsia="仿宋_GB2312" w:cs="仿宋_GB2312"/>
                <w:color w:val="auto"/>
                <w:sz w:val="20"/>
                <w:szCs w:val="20"/>
              </w:rPr>
            </w:pPr>
          </w:p>
        </w:tc>
        <w:tc>
          <w:tcPr>
            <w:tcW w:w="1010" w:type="dxa"/>
            <w:vAlign w:val="center"/>
          </w:tcPr>
          <w:p>
            <w:pPr>
              <w:spacing w:line="240" w:lineRule="exact"/>
              <w:rPr>
                <w:rFonts w:hint="eastAsia" w:ascii="仿宋_GB2312" w:hAnsi="仿宋_GB2312" w:eastAsia="仿宋_GB2312" w:cs="仿宋_GB2312"/>
                <w:color w:val="auto"/>
                <w:sz w:val="20"/>
                <w:szCs w:val="20"/>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55" w:hRule="atLeast"/>
          <w:jc w:val="center"/>
        </w:trPr>
        <w:tc>
          <w:tcPr>
            <w:tcW w:w="758" w:type="dxa"/>
            <w:vAlign w:val="center"/>
          </w:tcPr>
          <w:p>
            <w:pPr>
              <w:numPr>
                <w:ilvl w:val="0"/>
                <w:numId w:val="1"/>
              </w:numPr>
              <w:spacing w:line="240" w:lineRule="exact"/>
              <w:ind w:left="425" w:leftChars="0" w:hanging="425" w:firstLineChars="0"/>
              <w:jc w:val="both"/>
              <w:rPr>
                <w:rFonts w:hint="eastAsia" w:ascii="仿宋_GB2312" w:hAnsi="仿宋_GB2312" w:eastAsia="仿宋_GB2312" w:cs="仿宋_GB2312"/>
                <w:color w:val="auto"/>
                <w:sz w:val="20"/>
                <w:szCs w:val="20"/>
                <w:lang w:val="en-US" w:eastAsia="zh-CN"/>
              </w:rPr>
            </w:pPr>
          </w:p>
        </w:tc>
        <w:tc>
          <w:tcPr>
            <w:tcW w:w="3108" w:type="dxa"/>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对指使、强令他人冒险作业的行政处罚</w:t>
            </w:r>
          </w:p>
        </w:tc>
        <w:tc>
          <w:tcPr>
            <w:tcW w:w="1286" w:type="dxa"/>
            <w:vAlign w:val="center"/>
          </w:tcPr>
          <w:p>
            <w:pPr>
              <w:numPr>
                <w:ilvl w:val="0"/>
                <w:numId w:val="2"/>
              </w:numPr>
              <w:spacing w:line="240" w:lineRule="exact"/>
              <w:ind w:left="425" w:leftChars="0" w:hanging="425" w:firstLineChars="0"/>
              <w:rPr>
                <w:rFonts w:hint="eastAsia" w:ascii="仿宋_GB2312" w:hAnsi="仿宋_GB2312" w:eastAsia="仿宋_GB2312" w:cs="仿宋_GB2312"/>
                <w:color w:val="auto"/>
                <w:sz w:val="20"/>
                <w:szCs w:val="20"/>
              </w:rPr>
            </w:pPr>
          </w:p>
        </w:tc>
        <w:tc>
          <w:tcPr>
            <w:tcW w:w="4253" w:type="dxa"/>
            <w:vAlign w:val="center"/>
          </w:tcPr>
          <w:p>
            <w:pPr>
              <w:keepNext w:val="0"/>
              <w:keepLines w:val="0"/>
              <w:widowControl/>
              <w:suppressLineNumbers w:val="0"/>
              <w:jc w:val="left"/>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《中华人民共和国消防法》第六十四条第一项  指使或者强令他人违反消防安全规定,冒险作业的，尚不构成犯罪的,处十日以上十五日以下拘留,可以并处五百元以下罚款;情节较轻的,处警告或者五百元以下罚款。</w:t>
            </w:r>
          </w:p>
        </w:tc>
        <w:tc>
          <w:tcPr>
            <w:tcW w:w="2126" w:type="dxa"/>
            <w:vAlign w:val="center"/>
          </w:tcPr>
          <w:p>
            <w:pPr>
              <w:numPr>
                <w:ilvl w:val="0"/>
                <w:numId w:val="3"/>
              </w:numPr>
              <w:spacing w:line="240" w:lineRule="exact"/>
              <w:ind w:left="425" w:leftChars="0" w:hanging="425" w:firstLineChars="0"/>
              <w:rPr>
                <w:rFonts w:hint="eastAsia" w:ascii="仿宋_GB2312" w:hAnsi="仿宋_GB2312" w:eastAsia="仿宋_GB2312" w:cs="仿宋_GB2312"/>
                <w:color w:val="auto"/>
                <w:sz w:val="20"/>
                <w:szCs w:val="20"/>
              </w:rPr>
            </w:pPr>
          </w:p>
        </w:tc>
        <w:tc>
          <w:tcPr>
            <w:tcW w:w="992" w:type="dxa"/>
            <w:vAlign w:val="center"/>
          </w:tcPr>
          <w:p>
            <w:pPr>
              <w:numPr>
                <w:ilvl w:val="0"/>
                <w:numId w:val="4"/>
              </w:numPr>
              <w:spacing w:line="240" w:lineRule="exact"/>
              <w:ind w:left="425" w:leftChars="0" w:hanging="425" w:firstLineChars="0"/>
              <w:rPr>
                <w:rFonts w:hint="eastAsia" w:ascii="仿宋_GB2312" w:hAnsi="仿宋_GB2312" w:eastAsia="仿宋_GB2312" w:cs="仿宋_GB2312"/>
                <w:color w:val="auto"/>
                <w:sz w:val="20"/>
                <w:szCs w:val="20"/>
              </w:rPr>
            </w:pPr>
          </w:p>
        </w:tc>
        <w:tc>
          <w:tcPr>
            <w:tcW w:w="1010" w:type="dxa"/>
            <w:vAlign w:val="center"/>
          </w:tcPr>
          <w:p>
            <w:pPr>
              <w:spacing w:line="240" w:lineRule="exact"/>
              <w:rPr>
                <w:rFonts w:hint="eastAsia" w:ascii="仿宋_GB2312" w:hAnsi="仿宋_GB2312" w:eastAsia="仿宋_GB2312" w:cs="仿宋_GB2312"/>
                <w:color w:val="auto"/>
                <w:sz w:val="20"/>
                <w:szCs w:val="20"/>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55" w:hRule="atLeast"/>
          <w:jc w:val="center"/>
        </w:trPr>
        <w:tc>
          <w:tcPr>
            <w:tcW w:w="758" w:type="dxa"/>
            <w:vAlign w:val="center"/>
          </w:tcPr>
          <w:p>
            <w:pPr>
              <w:numPr>
                <w:ilvl w:val="0"/>
                <w:numId w:val="1"/>
              </w:numPr>
              <w:spacing w:line="240" w:lineRule="exact"/>
              <w:ind w:left="425" w:leftChars="0" w:hanging="425" w:firstLineChars="0"/>
              <w:jc w:val="both"/>
              <w:rPr>
                <w:rFonts w:hint="eastAsia" w:ascii="仿宋_GB2312" w:hAnsi="仿宋_GB2312" w:eastAsia="仿宋_GB2312" w:cs="仿宋_GB2312"/>
                <w:color w:val="auto"/>
                <w:sz w:val="20"/>
                <w:szCs w:val="20"/>
                <w:lang w:val="en-US" w:eastAsia="zh-CN"/>
              </w:rPr>
            </w:pPr>
          </w:p>
        </w:tc>
        <w:tc>
          <w:tcPr>
            <w:tcW w:w="3108" w:type="dxa"/>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对过失引起火灾的行政处罚</w:t>
            </w:r>
          </w:p>
        </w:tc>
        <w:tc>
          <w:tcPr>
            <w:tcW w:w="1286" w:type="dxa"/>
            <w:vAlign w:val="center"/>
          </w:tcPr>
          <w:p>
            <w:pPr>
              <w:numPr>
                <w:ilvl w:val="0"/>
                <w:numId w:val="2"/>
              </w:numPr>
              <w:spacing w:line="240" w:lineRule="exact"/>
              <w:ind w:left="425" w:leftChars="0" w:hanging="425" w:firstLineChars="0"/>
              <w:rPr>
                <w:rFonts w:hint="eastAsia" w:ascii="仿宋_GB2312" w:hAnsi="仿宋_GB2312" w:eastAsia="仿宋_GB2312" w:cs="仿宋_GB2312"/>
                <w:color w:val="auto"/>
                <w:sz w:val="20"/>
                <w:szCs w:val="20"/>
              </w:rPr>
            </w:pPr>
          </w:p>
        </w:tc>
        <w:tc>
          <w:tcPr>
            <w:tcW w:w="4253" w:type="dxa"/>
            <w:vAlign w:val="center"/>
          </w:tcPr>
          <w:p>
            <w:pPr>
              <w:keepNext w:val="0"/>
              <w:keepLines w:val="0"/>
              <w:widowControl/>
              <w:suppressLineNumbers w:val="0"/>
              <w:jc w:val="left"/>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《中华人民共和国消防法》第六十四条第二项 过失引起火灾的，尚不构成犯罪的,处十日以上十五日以下拘留,可以并处五百元以下罚款;情节较轻的,处警告或者五百元以下罚款。</w:t>
            </w:r>
          </w:p>
        </w:tc>
        <w:tc>
          <w:tcPr>
            <w:tcW w:w="2126" w:type="dxa"/>
            <w:vAlign w:val="center"/>
          </w:tcPr>
          <w:p>
            <w:pPr>
              <w:numPr>
                <w:ilvl w:val="0"/>
                <w:numId w:val="3"/>
              </w:numPr>
              <w:spacing w:line="240" w:lineRule="exact"/>
              <w:ind w:left="425" w:leftChars="0" w:hanging="425" w:firstLineChars="0"/>
              <w:rPr>
                <w:rFonts w:hint="eastAsia" w:ascii="仿宋_GB2312" w:hAnsi="仿宋_GB2312" w:eastAsia="仿宋_GB2312" w:cs="仿宋_GB2312"/>
                <w:color w:val="auto"/>
                <w:sz w:val="20"/>
                <w:szCs w:val="20"/>
              </w:rPr>
            </w:pPr>
          </w:p>
        </w:tc>
        <w:tc>
          <w:tcPr>
            <w:tcW w:w="992" w:type="dxa"/>
            <w:vAlign w:val="center"/>
          </w:tcPr>
          <w:p>
            <w:pPr>
              <w:numPr>
                <w:ilvl w:val="0"/>
                <w:numId w:val="4"/>
              </w:numPr>
              <w:spacing w:line="240" w:lineRule="exact"/>
              <w:ind w:left="425" w:leftChars="0" w:hanging="425" w:firstLineChars="0"/>
              <w:rPr>
                <w:rFonts w:hint="eastAsia" w:ascii="仿宋_GB2312" w:hAnsi="仿宋_GB2312" w:eastAsia="仿宋_GB2312" w:cs="仿宋_GB2312"/>
                <w:color w:val="auto"/>
                <w:sz w:val="20"/>
                <w:szCs w:val="20"/>
              </w:rPr>
            </w:pPr>
          </w:p>
        </w:tc>
        <w:tc>
          <w:tcPr>
            <w:tcW w:w="1010" w:type="dxa"/>
            <w:vAlign w:val="center"/>
          </w:tcPr>
          <w:p>
            <w:pPr>
              <w:spacing w:line="240" w:lineRule="exact"/>
              <w:rPr>
                <w:rFonts w:hint="eastAsia" w:ascii="仿宋_GB2312" w:hAnsi="仿宋_GB2312" w:eastAsia="仿宋_GB2312" w:cs="仿宋_GB2312"/>
                <w:color w:val="auto"/>
                <w:sz w:val="20"/>
                <w:szCs w:val="20"/>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55" w:hRule="atLeast"/>
          <w:jc w:val="center"/>
        </w:trPr>
        <w:tc>
          <w:tcPr>
            <w:tcW w:w="758" w:type="dxa"/>
            <w:vAlign w:val="center"/>
          </w:tcPr>
          <w:p>
            <w:pPr>
              <w:numPr>
                <w:ilvl w:val="0"/>
                <w:numId w:val="1"/>
              </w:numPr>
              <w:spacing w:line="240" w:lineRule="exact"/>
              <w:ind w:left="425" w:leftChars="0" w:hanging="425" w:firstLineChars="0"/>
              <w:jc w:val="center"/>
              <w:rPr>
                <w:rFonts w:hint="eastAsia" w:ascii="仿宋_GB2312" w:hAnsi="仿宋_GB2312" w:eastAsia="仿宋_GB2312" w:cs="仿宋_GB2312"/>
                <w:color w:val="auto"/>
                <w:sz w:val="20"/>
                <w:szCs w:val="20"/>
                <w:lang w:val="en-US" w:eastAsia="zh-CN"/>
              </w:rPr>
            </w:pPr>
          </w:p>
        </w:tc>
        <w:tc>
          <w:tcPr>
            <w:tcW w:w="3108" w:type="dxa"/>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对在火灾发生后阻拦报警，或者负有报告职责的人员不及时报警的行政处罚</w:t>
            </w:r>
          </w:p>
        </w:tc>
        <w:tc>
          <w:tcPr>
            <w:tcW w:w="1286" w:type="dxa"/>
            <w:vAlign w:val="center"/>
          </w:tcPr>
          <w:p>
            <w:pPr>
              <w:numPr>
                <w:ilvl w:val="0"/>
                <w:numId w:val="2"/>
              </w:numPr>
              <w:spacing w:line="240" w:lineRule="exact"/>
              <w:ind w:left="425" w:leftChars="0" w:hanging="425" w:firstLineChars="0"/>
              <w:rPr>
                <w:rFonts w:hint="eastAsia" w:ascii="仿宋_GB2312" w:hAnsi="仿宋_GB2312" w:eastAsia="仿宋_GB2312" w:cs="仿宋_GB2312"/>
                <w:color w:val="auto"/>
                <w:sz w:val="20"/>
                <w:szCs w:val="20"/>
              </w:rPr>
            </w:pPr>
          </w:p>
        </w:tc>
        <w:tc>
          <w:tcPr>
            <w:tcW w:w="4253" w:type="dxa"/>
            <w:vAlign w:val="center"/>
          </w:tcPr>
          <w:p>
            <w:pPr>
              <w:keepNext w:val="0"/>
              <w:keepLines w:val="0"/>
              <w:widowControl/>
              <w:suppressLineNumbers w:val="0"/>
              <w:jc w:val="left"/>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 xml:space="preserve"> 《中华人民共和国消防法》第六十四条第三项  在火灾发生后阻拦报警，或者负有报告职责的人员不及时报警的，尚不构成犯罪的,处十日以上十五日以下拘留,可以并处五百元以下罚款;情节较轻的,处警告或者五百元以下罚款。</w:t>
            </w:r>
          </w:p>
        </w:tc>
        <w:tc>
          <w:tcPr>
            <w:tcW w:w="2126" w:type="dxa"/>
            <w:vAlign w:val="center"/>
          </w:tcPr>
          <w:p>
            <w:pPr>
              <w:numPr>
                <w:ilvl w:val="0"/>
                <w:numId w:val="3"/>
              </w:numPr>
              <w:spacing w:line="240" w:lineRule="exact"/>
              <w:ind w:left="425" w:leftChars="0" w:hanging="425" w:firstLineChars="0"/>
              <w:rPr>
                <w:rFonts w:hint="eastAsia" w:ascii="仿宋_GB2312" w:hAnsi="仿宋_GB2312" w:eastAsia="仿宋_GB2312" w:cs="仿宋_GB2312"/>
                <w:color w:val="auto"/>
                <w:sz w:val="20"/>
                <w:szCs w:val="20"/>
              </w:rPr>
            </w:pPr>
          </w:p>
        </w:tc>
        <w:tc>
          <w:tcPr>
            <w:tcW w:w="992" w:type="dxa"/>
            <w:vAlign w:val="center"/>
          </w:tcPr>
          <w:p>
            <w:pPr>
              <w:numPr>
                <w:ilvl w:val="0"/>
                <w:numId w:val="4"/>
              </w:numPr>
              <w:spacing w:line="240" w:lineRule="exact"/>
              <w:ind w:left="425" w:leftChars="0" w:hanging="425" w:firstLineChars="0"/>
              <w:rPr>
                <w:rFonts w:hint="eastAsia" w:ascii="仿宋_GB2312" w:hAnsi="仿宋_GB2312" w:eastAsia="仿宋_GB2312" w:cs="仿宋_GB2312"/>
                <w:color w:val="auto"/>
                <w:sz w:val="20"/>
                <w:szCs w:val="20"/>
              </w:rPr>
            </w:pPr>
          </w:p>
        </w:tc>
        <w:tc>
          <w:tcPr>
            <w:tcW w:w="1010" w:type="dxa"/>
            <w:vAlign w:val="center"/>
          </w:tcPr>
          <w:p>
            <w:pPr>
              <w:spacing w:line="240" w:lineRule="exact"/>
              <w:rPr>
                <w:rFonts w:hint="eastAsia" w:ascii="仿宋_GB2312" w:hAnsi="仿宋_GB2312" w:eastAsia="仿宋_GB2312" w:cs="仿宋_GB2312"/>
                <w:color w:val="auto"/>
                <w:sz w:val="20"/>
                <w:szCs w:val="20"/>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55" w:hRule="atLeast"/>
          <w:jc w:val="center"/>
        </w:trPr>
        <w:tc>
          <w:tcPr>
            <w:tcW w:w="758" w:type="dxa"/>
            <w:vAlign w:val="center"/>
          </w:tcPr>
          <w:p>
            <w:pPr>
              <w:numPr>
                <w:ilvl w:val="0"/>
                <w:numId w:val="1"/>
              </w:numPr>
              <w:spacing w:line="240" w:lineRule="exact"/>
              <w:ind w:left="425" w:leftChars="0" w:hanging="425" w:firstLineChars="0"/>
              <w:jc w:val="center"/>
              <w:rPr>
                <w:rFonts w:hint="eastAsia" w:ascii="仿宋_GB2312" w:hAnsi="仿宋_GB2312" w:eastAsia="仿宋_GB2312" w:cs="仿宋_GB2312"/>
                <w:color w:val="auto"/>
                <w:sz w:val="20"/>
                <w:szCs w:val="20"/>
                <w:lang w:val="en-US" w:eastAsia="zh-CN"/>
              </w:rPr>
            </w:pPr>
          </w:p>
        </w:tc>
        <w:tc>
          <w:tcPr>
            <w:tcW w:w="3108" w:type="dxa"/>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对扰乱火灾现场秩序或者负有报告职责的人员不及时报警的行政处罚</w:t>
            </w:r>
          </w:p>
        </w:tc>
        <w:tc>
          <w:tcPr>
            <w:tcW w:w="1286" w:type="dxa"/>
            <w:vAlign w:val="center"/>
          </w:tcPr>
          <w:p>
            <w:pPr>
              <w:numPr>
                <w:ilvl w:val="0"/>
                <w:numId w:val="2"/>
              </w:numPr>
              <w:spacing w:line="240" w:lineRule="exact"/>
              <w:ind w:left="425" w:leftChars="0" w:hanging="425" w:firstLineChars="0"/>
              <w:rPr>
                <w:rFonts w:hint="eastAsia" w:ascii="仿宋_GB2312" w:hAnsi="仿宋_GB2312" w:eastAsia="仿宋_GB2312" w:cs="仿宋_GB2312"/>
                <w:color w:val="auto"/>
                <w:sz w:val="20"/>
                <w:szCs w:val="20"/>
              </w:rPr>
            </w:pPr>
          </w:p>
        </w:tc>
        <w:tc>
          <w:tcPr>
            <w:tcW w:w="4253" w:type="dxa"/>
            <w:vAlign w:val="center"/>
          </w:tcPr>
          <w:p>
            <w:pPr>
              <w:keepNext w:val="0"/>
              <w:keepLines w:val="0"/>
              <w:widowControl/>
              <w:suppressLineNumbers w:val="0"/>
              <w:jc w:val="left"/>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《中华人民共和国消防法》第六十四条第四项  扰乱火灾现场秩序，或者拒不执行火灾现场指挥员指挥，影响灭火救援的,尚不构成犯罪的,处十日以上十五日以下拘留,可以并处五百元以下罚款;情节较轻的,处警告或者五百元以下罚款。</w:t>
            </w:r>
          </w:p>
        </w:tc>
        <w:tc>
          <w:tcPr>
            <w:tcW w:w="2126" w:type="dxa"/>
            <w:vAlign w:val="center"/>
          </w:tcPr>
          <w:p>
            <w:pPr>
              <w:numPr>
                <w:ilvl w:val="0"/>
                <w:numId w:val="3"/>
              </w:numPr>
              <w:spacing w:line="240" w:lineRule="exact"/>
              <w:ind w:left="425" w:leftChars="0" w:hanging="425" w:firstLineChars="0"/>
              <w:rPr>
                <w:rFonts w:hint="eastAsia" w:ascii="仿宋_GB2312" w:hAnsi="仿宋_GB2312" w:eastAsia="仿宋_GB2312" w:cs="仿宋_GB2312"/>
                <w:color w:val="auto"/>
                <w:sz w:val="20"/>
                <w:szCs w:val="20"/>
              </w:rPr>
            </w:pPr>
          </w:p>
        </w:tc>
        <w:tc>
          <w:tcPr>
            <w:tcW w:w="992" w:type="dxa"/>
            <w:vAlign w:val="center"/>
          </w:tcPr>
          <w:p>
            <w:pPr>
              <w:numPr>
                <w:ilvl w:val="0"/>
                <w:numId w:val="4"/>
              </w:numPr>
              <w:spacing w:line="240" w:lineRule="exact"/>
              <w:ind w:left="425" w:leftChars="0" w:hanging="425" w:firstLineChars="0"/>
              <w:rPr>
                <w:rFonts w:hint="eastAsia" w:ascii="仿宋_GB2312" w:hAnsi="仿宋_GB2312" w:eastAsia="仿宋_GB2312" w:cs="仿宋_GB2312"/>
                <w:color w:val="auto"/>
                <w:sz w:val="20"/>
                <w:szCs w:val="20"/>
              </w:rPr>
            </w:pPr>
          </w:p>
        </w:tc>
        <w:tc>
          <w:tcPr>
            <w:tcW w:w="1010" w:type="dxa"/>
            <w:vAlign w:val="center"/>
          </w:tcPr>
          <w:p>
            <w:pPr>
              <w:spacing w:line="240" w:lineRule="exact"/>
              <w:rPr>
                <w:rFonts w:hint="eastAsia" w:ascii="仿宋_GB2312" w:hAnsi="仿宋_GB2312" w:eastAsia="仿宋_GB2312" w:cs="仿宋_GB2312"/>
                <w:color w:val="auto"/>
                <w:sz w:val="20"/>
                <w:szCs w:val="20"/>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55" w:hRule="atLeast"/>
          <w:jc w:val="center"/>
        </w:trPr>
        <w:tc>
          <w:tcPr>
            <w:tcW w:w="758" w:type="dxa"/>
            <w:vAlign w:val="center"/>
          </w:tcPr>
          <w:p>
            <w:pPr>
              <w:numPr>
                <w:ilvl w:val="0"/>
                <w:numId w:val="1"/>
              </w:numPr>
              <w:spacing w:line="240" w:lineRule="exact"/>
              <w:ind w:left="425" w:leftChars="0" w:hanging="425" w:firstLineChars="0"/>
              <w:jc w:val="center"/>
              <w:rPr>
                <w:rFonts w:hint="eastAsia" w:ascii="仿宋_GB2312" w:hAnsi="仿宋_GB2312" w:eastAsia="仿宋_GB2312" w:cs="仿宋_GB2312"/>
                <w:color w:val="auto"/>
                <w:sz w:val="20"/>
                <w:szCs w:val="20"/>
                <w:lang w:val="en-US" w:eastAsia="zh-CN"/>
              </w:rPr>
            </w:pPr>
          </w:p>
        </w:tc>
        <w:tc>
          <w:tcPr>
            <w:tcW w:w="3108" w:type="dxa"/>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对故意破坏、伪造火灾现场的行政处罚</w:t>
            </w:r>
          </w:p>
        </w:tc>
        <w:tc>
          <w:tcPr>
            <w:tcW w:w="1286" w:type="dxa"/>
            <w:vAlign w:val="center"/>
          </w:tcPr>
          <w:p>
            <w:pPr>
              <w:numPr>
                <w:ilvl w:val="0"/>
                <w:numId w:val="2"/>
              </w:numPr>
              <w:spacing w:line="240" w:lineRule="exact"/>
              <w:ind w:left="425" w:leftChars="0" w:hanging="425" w:firstLineChars="0"/>
              <w:rPr>
                <w:rFonts w:hint="eastAsia" w:ascii="仿宋_GB2312" w:hAnsi="仿宋_GB2312" w:eastAsia="仿宋_GB2312" w:cs="仿宋_GB2312"/>
                <w:color w:val="auto"/>
                <w:sz w:val="20"/>
                <w:szCs w:val="20"/>
              </w:rPr>
            </w:pPr>
          </w:p>
        </w:tc>
        <w:tc>
          <w:tcPr>
            <w:tcW w:w="4253" w:type="dxa"/>
            <w:vAlign w:val="center"/>
          </w:tcPr>
          <w:p>
            <w:pPr>
              <w:keepNext w:val="0"/>
              <w:keepLines w:val="0"/>
              <w:widowControl/>
              <w:suppressLineNumbers w:val="0"/>
              <w:jc w:val="left"/>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《中华人民共和国消防法》第六十四条第五项 故意破坏或者伪造火灾现场的，尚不构成犯罪的,处十日以上十五日以下拘留,可以并处五百元以下罚款;情节较轻的,处警告或者五百元以下罚款。</w:t>
            </w:r>
          </w:p>
        </w:tc>
        <w:tc>
          <w:tcPr>
            <w:tcW w:w="2126" w:type="dxa"/>
            <w:vAlign w:val="center"/>
          </w:tcPr>
          <w:p>
            <w:pPr>
              <w:numPr>
                <w:ilvl w:val="0"/>
                <w:numId w:val="3"/>
              </w:numPr>
              <w:spacing w:line="240" w:lineRule="exact"/>
              <w:ind w:left="425" w:leftChars="0" w:hanging="425" w:firstLineChars="0"/>
              <w:rPr>
                <w:rFonts w:hint="eastAsia" w:ascii="仿宋_GB2312" w:hAnsi="仿宋_GB2312" w:eastAsia="仿宋_GB2312" w:cs="仿宋_GB2312"/>
                <w:color w:val="auto"/>
                <w:sz w:val="20"/>
                <w:szCs w:val="20"/>
              </w:rPr>
            </w:pPr>
          </w:p>
        </w:tc>
        <w:tc>
          <w:tcPr>
            <w:tcW w:w="992" w:type="dxa"/>
            <w:vAlign w:val="center"/>
          </w:tcPr>
          <w:p>
            <w:pPr>
              <w:numPr>
                <w:ilvl w:val="0"/>
                <w:numId w:val="4"/>
              </w:numPr>
              <w:spacing w:line="240" w:lineRule="exact"/>
              <w:ind w:left="425" w:leftChars="0" w:hanging="425" w:firstLineChars="0"/>
              <w:rPr>
                <w:rFonts w:hint="eastAsia" w:ascii="仿宋_GB2312" w:hAnsi="仿宋_GB2312" w:eastAsia="仿宋_GB2312" w:cs="仿宋_GB2312"/>
                <w:color w:val="auto"/>
                <w:sz w:val="20"/>
                <w:szCs w:val="20"/>
              </w:rPr>
            </w:pPr>
          </w:p>
        </w:tc>
        <w:tc>
          <w:tcPr>
            <w:tcW w:w="1010" w:type="dxa"/>
            <w:vAlign w:val="center"/>
          </w:tcPr>
          <w:p>
            <w:pPr>
              <w:spacing w:line="240" w:lineRule="exact"/>
              <w:rPr>
                <w:rFonts w:hint="eastAsia" w:ascii="仿宋_GB2312" w:hAnsi="仿宋_GB2312" w:eastAsia="仿宋_GB2312" w:cs="仿宋_GB2312"/>
                <w:color w:val="auto"/>
                <w:sz w:val="20"/>
                <w:szCs w:val="20"/>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55" w:hRule="atLeast"/>
          <w:jc w:val="center"/>
        </w:trPr>
        <w:tc>
          <w:tcPr>
            <w:tcW w:w="758" w:type="dxa"/>
            <w:vAlign w:val="center"/>
          </w:tcPr>
          <w:p>
            <w:pPr>
              <w:numPr>
                <w:ilvl w:val="0"/>
                <w:numId w:val="1"/>
              </w:numPr>
              <w:spacing w:line="240" w:lineRule="exact"/>
              <w:ind w:left="425" w:leftChars="0" w:hanging="425" w:firstLineChars="0"/>
              <w:jc w:val="center"/>
              <w:rPr>
                <w:rFonts w:hint="eastAsia" w:ascii="仿宋_GB2312" w:hAnsi="仿宋_GB2312" w:eastAsia="仿宋_GB2312" w:cs="仿宋_GB2312"/>
                <w:color w:val="auto"/>
                <w:sz w:val="20"/>
                <w:szCs w:val="20"/>
                <w:lang w:val="en-US" w:eastAsia="zh-CN"/>
              </w:rPr>
            </w:pPr>
          </w:p>
        </w:tc>
        <w:tc>
          <w:tcPr>
            <w:tcW w:w="3108" w:type="dxa"/>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对擅自拆封、使用被查封场所、部位的行政处罚</w:t>
            </w:r>
          </w:p>
        </w:tc>
        <w:tc>
          <w:tcPr>
            <w:tcW w:w="1286" w:type="dxa"/>
            <w:vAlign w:val="center"/>
          </w:tcPr>
          <w:p>
            <w:pPr>
              <w:numPr>
                <w:ilvl w:val="0"/>
                <w:numId w:val="2"/>
              </w:numPr>
              <w:spacing w:line="240" w:lineRule="exact"/>
              <w:ind w:left="425" w:leftChars="0" w:hanging="425" w:firstLineChars="0"/>
              <w:rPr>
                <w:rFonts w:hint="eastAsia" w:ascii="仿宋_GB2312" w:hAnsi="仿宋_GB2312" w:eastAsia="仿宋_GB2312" w:cs="仿宋_GB2312"/>
                <w:color w:val="auto"/>
                <w:sz w:val="20"/>
                <w:szCs w:val="20"/>
              </w:rPr>
            </w:pPr>
          </w:p>
        </w:tc>
        <w:tc>
          <w:tcPr>
            <w:tcW w:w="4253" w:type="dxa"/>
            <w:vAlign w:val="center"/>
          </w:tcPr>
          <w:p>
            <w:pPr>
              <w:keepNext w:val="0"/>
              <w:keepLines w:val="0"/>
              <w:widowControl/>
              <w:suppressLineNumbers w:val="0"/>
              <w:jc w:val="left"/>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《中华人民共和国消防法》第六十四条第六项 擅自拆封或者使用被消防救援机构查封的场所、部位的，尚不构成犯罪的,处十日以上十五日以下拘留,可以并处五百元以下罚款;情节较轻的,处警告或者五百元以下罚款。</w:t>
            </w:r>
          </w:p>
        </w:tc>
        <w:tc>
          <w:tcPr>
            <w:tcW w:w="2126" w:type="dxa"/>
            <w:vAlign w:val="center"/>
          </w:tcPr>
          <w:p>
            <w:pPr>
              <w:numPr>
                <w:ilvl w:val="0"/>
                <w:numId w:val="3"/>
              </w:numPr>
              <w:spacing w:line="240" w:lineRule="exact"/>
              <w:ind w:left="425" w:leftChars="0" w:hanging="425" w:firstLineChars="0"/>
              <w:rPr>
                <w:rFonts w:hint="eastAsia" w:ascii="仿宋_GB2312" w:hAnsi="仿宋_GB2312" w:eastAsia="仿宋_GB2312" w:cs="仿宋_GB2312"/>
                <w:color w:val="auto"/>
                <w:sz w:val="20"/>
                <w:szCs w:val="20"/>
              </w:rPr>
            </w:pPr>
          </w:p>
        </w:tc>
        <w:tc>
          <w:tcPr>
            <w:tcW w:w="992" w:type="dxa"/>
            <w:vAlign w:val="center"/>
          </w:tcPr>
          <w:p>
            <w:pPr>
              <w:numPr>
                <w:ilvl w:val="0"/>
                <w:numId w:val="4"/>
              </w:numPr>
              <w:spacing w:line="240" w:lineRule="exact"/>
              <w:ind w:left="425" w:leftChars="0" w:hanging="425" w:firstLineChars="0"/>
              <w:rPr>
                <w:rFonts w:hint="eastAsia" w:ascii="仿宋_GB2312" w:hAnsi="仿宋_GB2312" w:eastAsia="仿宋_GB2312" w:cs="仿宋_GB2312"/>
                <w:color w:val="auto"/>
                <w:sz w:val="20"/>
                <w:szCs w:val="20"/>
              </w:rPr>
            </w:pPr>
          </w:p>
        </w:tc>
        <w:tc>
          <w:tcPr>
            <w:tcW w:w="1010" w:type="dxa"/>
            <w:vAlign w:val="center"/>
          </w:tcPr>
          <w:p>
            <w:pPr>
              <w:spacing w:line="240" w:lineRule="exact"/>
              <w:rPr>
                <w:rFonts w:hint="eastAsia" w:ascii="仿宋_GB2312" w:hAnsi="仿宋_GB2312" w:eastAsia="仿宋_GB2312" w:cs="仿宋_GB2312"/>
                <w:color w:val="auto"/>
                <w:sz w:val="20"/>
                <w:szCs w:val="20"/>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55" w:hRule="atLeast"/>
          <w:jc w:val="center"/>
        </w:trPr>
        <w:tc>
          <w:tcPr>
            <w:tcW w:w="758" w:type="dxa"/>
            <w:vAlign w:val="center"/>
          </w:tcPr>
          <w:p>
            <w:pPr>
              <w:numPr>
                <w:ilvl w:val="0"/>
                <w:numId w:val="1"/>
              </w:numPr>
              <w:spacing w:line="240" w:lineRule="exact"/>
              <w:ind w:left="425" w:leftChars="0" w:hanging="425" w:firstLineChars="0"/>
              <w:jc w:val="center"/>
              <w:rPr>
                <w:rFonts w:hint="eastAsia" w:ascii="仿宋_GB2312" w:hAnsi="仿宋_GB2312" w:eastAsia="仿宋_GB2312" w:cs="仿宋_GB2312"/>
                <w:color w:val="auto"/>
                <w:sz w:val="20"/>
                <w:szCs w:val="20"/>
                <w:lang w:val="en-US" w:eastAsia="zh-CN"/>
              </w:rPr>
            </w:pPr>
          </w:p>
        </w:tc>
        <w:tc>
          <w:tcPr>
            <w:tcW w:w="3108" w:type="dxa"/>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对人员密集场所使用不合格、国家明令淘汰的消防产品逾期未改的行政处罚</w:t>
            </w:r>
          </w:p>
        </w:tc>
        <w:tc>
          <w:tcPr>
            <w:tcW w:w="1286" w:type="dxa"/>
            <w:vAlign w:val="center"/>
          </w:tcPr>
          <w:p>
            <w:pPr>
              <w:numPr>
                <w:ilvl w:val="0"/>
                <w:numId w:val="2"/>
              </w:numPr>
              <w:spacing w:line="240" w:lineRule="exact"/>
              <w:ind w:left="425" w:leftChars="0" w:hanging="425" w:firstLineChars="0"/>
              <w:rPr>
                <w:rFonts w:hint="eastAsia" w:ascii="仿宋_GB2312" w:hAnsi="仿宋_GB2312" w:eastAsia="仿宋_GB2312" w:cs="仿宋_GB2312"/>
                <w:color w:val="auto"/>
                <w:sz w:val="20"/>
                <w:szCs w:val="20"/>
              </w:rPr>
            </w:pPr>
          </w:p>
        </w:tc>
        <w:tc>
          <w:tcPr>
            <w:tcW w:w="4253" w:type="dxa"/>
            <w:vAlign w:val="center"/>
          </w:tcPr>
          <w:p>
            <w:pPr>
              <w:keepNext w:val="0"/>
              <w:keepLines w:val="0"/>
              <w:widowControl/>
              <w:suppressLineNumbers w:val="0"/>
              <w:jc w:val="left"/>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《中华人民共和国消防法》第六十五条第二款 人员密集场所使用不合格的消防产品或者国家明令淘汰的消防产品的,责令限期改正;逾期不改正的,处五千元以上五万元以下罚款,并对其直接负责的主管人员和其他直接责任人员处五百元以上二千元以下罚款;情节严重的,责令停产停业。</w:t>
            </w:r>
          </w:p>
        </w:tc>
        <w:tc>
          <w:tcPr>
            <w:tcW w:w="2126" w:type="dxa"/>
            <w:vAlign w:val="center"/>
          </w:tcPr>
          <w:p>
            <w:pPr>
              <w:numPr>
                <w:ilvl w:val="0"/>
                <w:numId w:val="3"/>
              </w:numPr>
              <w:spacing w:line="240" w:lineRule="exact"/>
              <w:ind w:left="425" w:leftChars="0" w:hanging="425" w:firstLineChars="0"/>
              <w:rPr>
                <w:rFonts w:hint="eastAsia" w:ascii="仿宋_GB2312" w:hAnsi="仿宋_GB2312" w:eastAsia="仿宋_GB2312" w:cs="仿宋_GB2312"/>
                <w:color w:val="auto"/>
                <w:sz w:val="20"/>
                <w:szCs w:val="20"/>
              </w:rPr>
            </w:pPr>
          </w:p>
        </w:tc>
        <w:tc>
          <w:tcPr>
            <w:tcW w:w="992" w:type="dxa"/>
            <w:vAlign w:val="center"/>
          </w:tcPr>
          <w:p>
            <w:pPr>
              <w:numPr>
                <w:ilvl w:val="0"/>
                <w:numId w:val="4"/>
              </w:numPr>
              <w:spacing w:line="240" w:lineRule="exact"/>
              <w:ind w:left="425" w:leftChars="0" w:hanging="425" w:firstLineChars="0"/>
              <w:rPr>
                <w:rFonts w:hint="eastAsia" w:ascii="仿宋_GB2312" w:hAnsi="仿宋_GB2312" w:eastAsia="仿宋_GB2312" w:cs="仿宋_GB2312"/>
                <w:color w:val="auto"/>
                <w:sz w:val="20"/>
                <w:szCs w:val="20"/>
              </w:rPr>
            </w:pPr>
          </w:p>
        </w:tc>
        <w:tc>
          <w:tcPr>
            <w:tcW w:w="1010" w:type="dxa"/>
            <w:vAlign w:val="center"/>
          </w:tcPr>
          <w:p>
            <w:pPr>
              <w:spacing w:line="240" w:lineRule="exact"/>
              <w:rPr>
                <w:rFonts w:hint="eastAsia" w:ascii="仿宋_GB2312" w:hAnsi="仿宋_GB2312" w:eastAsia="仿宋_GB2312" w:cs="仿宋_GB2312"/>
                <w:color w:val="auto"/>
                <w:sz w:val="20"/>
                <w:szCs w:val="20"/>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55" w:hRule="atLeast"/>
          <w:jc w:val="center"/>
        </w:trPr>
        <w:tc>
          <w:tcPr>
            <w:tcW w:w="758" w:type="dxa"/>
            <w:vAlign w:val="center"/>
          </w:tcPr>
          <w:p>
            <w:pPr>
              <w:numPr>
                <w:ilvl w:val="0"/>
                <w:numId w:val="1"/>
              </w:numPr>
              <w:spacing w:line="240" w:lineRule="exact"/>
              <w:ind w:left="425" w:leftChars="0" w:hanging="425" w:firstLineChars="0"/>
              <w:jc w:val="center"/>
              <w:rPr>
                <w:rFonts w:hint="eastAsia" w:ascii="仿宋_GB2312" w:hAnsi="仿宋_GB2312" w:eastAsia="仿宋_GB2312" w:cs="仿宋_GB2312"/>
                <w:color w:val="auto"/>
                <w:sz w:val="20"/>
                <w:szCs w:val="20"/>
                <w:lang w:val="en-US" w:eastAsia="zh-CN"/>
              </w:rPr>
            </w:pPr>
          </w:p>
        </w:tc>
        <w:tc>
          <w:tcPr>
            <w:tcW w:w="3108" w:type="dxa"/>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对电器产品、燃气用具的安装、使用及其线路、管路的设计、敷设、维护保养、检测不符合消防技术标准和管理规定的行政处罚</w:t>
            </w:r>
          </w:p>
        </w:tc>
        <w:tc>
          <w:tcPr>
            <w:tcW w:w="1286" w:type="dxa"/>
            <w:vAlign w:val="center"/>
          </w:tcPr>
          <w:p>
            <w:pPr>
              <w:numPr>
                <w:ilvl w:val="0"/>
                <w:numId w:val="2"/>
              </w:numPr>
              <w:spacing w:line="240" w:lineRule="exact"/>
              <w:ind w:left="425" w:leftChars="0" w:hanging="425" w:firstLineChars="0"/>
              <w:rPr>
                <w:rFonts w:hint="eastAsia" w:ascii="仿宋_GB2312" w:hAnsi="仿宋_GB2312" w:eastAsia="仿宋_GB2312" w:cs="仿宋_GB2312"/>
                <w:color w:val="auto"/>
                <w:sz w:val="20"/>
                <w:szCs w:val="20"/>
              </w:rPr>
            </w:pPr>
          </w:p>
        </w:tc>
        <w:tc>
          <w:tcPr>
            <w:tcW w:w="4253" w:type="dxa"/>
            <w:vAlign w:val="center"/>
          </w:tcPr>
          <w:p>
            <w:pPr>
              <w:keepNext w:val="0"/>
              <w:keepLines w:val="0"/>
              <w:widowControl/>
              <w:suppressLineNumbers w:val="0"/>
              <w:jc w:val="left"/>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《中华人民共和国消防法》第六十六条　电器产品、燃气用具的安装、使用及其线路、管路的设计、敷设、维护保养、检测不符合消防技术标准和管理规定的，责令限期改正；逾期不改正的，责令停止使用，可以并处一千元以上五千元以下罚款。</w:t>
            </w:r>
          </w:p>
        </w:tc>
        <w:tc>
          <w:tcPr>
            <w:tcW w:w="2126" w:type="dxa"/>
            <w:vAlign w:val="center"/>
          </w:tcPr>
          <w:p>
            <w:pPr>
              <w:numPr>
                <w:ilvl w:val="0"/>
                <w:numId w:val="3"/>
              </w:numPr>
              <w:spacing w:line="240" w:lineRule="exact"/>
              <w:ind w:left="425" w:leftChars="0" w:hanging="425" w:firstLineChars="0"/>
              <w:rPr>
                <w:rFonts w:hint="eastAsia" w:ascii="仿宋_GB2312" w:hAnsi="仿宋_GB2312" w:eastAsia="仿宋_GB2312" w:cs="仿宋_GB2312"/>
                <w:color w:val="auto"/>
                <w:sz w:val="20"/>
                <w:szCs w:val="20"/>
              </w:rPr>
            </w:pPr>
          </w:p>
        </w:tc>
        <w:tc>
          <w:tcPr>
            <w:tcW w:w="992" w:type="dxa"/>
            <w:vAlign w:val="center"/>
          </w:tcPr>
          <w:p>
            <w:pPr>
              <w:numPr>
                <w:ilvl w:val="0"/>
                <w:numId w:val="4"/>
              </w:numPr>
              <w:spacing w:line="240" w:lineRule="exact"/>
              <w:ind w:left="425" w:leftChars="0" w:hanging="425" w:firstLineChars="0"/>
              <w:rPr>
                <w:rFonts w:hint="eastAsia" w:ascii="仿宋_GB2312" w:hAnsi="仿宋_GB2312" w:eastAsia="仿宋_GB2312" w:cs="仿宋_GB2312"/>
                <w:color w:val="auto"/>
                <w:sz w:val="20"/>
                <w:szCs w:val="20"/>
              </w:rPr>
            </w:pPr>
          </w:p>
        </w:tc>
        <w:tc>
          <w:tcPr>
            <w:tcW w:w="1010" w:type="dxa"/>
            <w:vAlign w:val="center"/>
          </w:tcPr>
          <w:p>
            <w:pPr>
              <w:spacing w:line="240" w:lineRule="exact"/>
              <w:rPr>
                <w:rFonts w:hint="eastAsia" w:ascii="仿宋_GB2312" w:hAnsi="仿宋_GB2312" w:eastAsia="仿宋_GB2312" w:cs="仿宋_GB2312"/>
                <w:color w:val="auto"/>
                <w:sz w:val="20"/>
                <w:szCs w:val="20"/>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55" w:hRule="atLeast"/>
          <w:jc w:val="center"/>
        </w:trPr>
        <w:tc>
          <w:tcPr>
            <w:tcW w:w="758" w:type="dxa"/>
            <w:vAlign w:val="center"/>
          </w:tcPr>
          <w:p>
            <w:pPr>
              <w:numPr>
                <w:ilvl w:val="0"/>
                <w:numId w:val="1"/>
              </w:numPr>
              <w:spacing w:line="240" w:lineRule="exact"/>
              <w:ind w:left="425" w:leftChars="0" w:hanging="425" w:firstLineChars="0"/>
              <w:jc w:val="center"/>
              <w:rPr>
                <w:rFonts w:hint="eastAsia" w:ascii="仿宋_GB2312" w:hAnsi="仿宋_GB2312" w:eastAsia="仿宋_GB2312" w:cs="仿宋_GB2312"/>
                <w:color w:val="auto"/>
                <w:sz w:val="20"/>
                <w:szCs w:val="20"/>
                <w:lang w:val="en-US" w:eastAsia="zh-CN"/>
              </w:rPr>
            </w:pPr>
          </w:p>
        </w:tc>
        <w:tc>
          <w:tcPr>
            <w:tcW w:w="3108" w:type="dxa"/>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对不履行消防安全职责逾期未改的行政处罚</w:t>
            </w:r>
          </w:p>
        </w:tc>
        <w:tc>
          <w:tcPr>
            <w:tcW w:w="1286" w:type="dxa"/>
            <w:vAlign w:val="center"/>
          </w:tcPr>
          <w:p>
            <w:pPr>
              <w:numPr>
                <w:ilvl w:val="0"/>
                <w:numId w:val="2"/>
              </w:numPr>
              <w:spacing w:line="240" w:lineRule="exact"/>
              <w:ind w:left="425" w:leftChars="0" w:hanging="425" w:firstLineChars="0"/>
              <w:rPr>
                <w:rFonts w:hint="eastAsia" w:ascii="仿宋_GB2312" w:hAnsi="仿宋_GB2312" w:eastAsia="仿宋_GB2312" w:cs="仿宋_GB2312"/>
                <w:color w:val="auto"/>
                <w:sz w:val="20"/>
                <w:szCs w:val="20"/>
              </w:rPr>
            </w:pPr>
          </w:p>
        </w:tc>
        <w:tc>
          <w:tcPr>
            <w:tcW w:w="4253" w:type="dxa"/>
            <w:vAlign w:val="center"/>
          </w:tcPr>
          <w:p>
            <w:pPr>
              <w:keepNext w:val="0"/>
              <w:keepLines w:val="0"/>
              <w:widowControl/>
              <w:suppressLineNumbers w:val="0"/>
              <w:jc w:val="left"/>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《中华人民共和国消防法》第六十七条  机关、团体、企业、事业等单位违反本法第十六条、第十七条、第十八条、第二十一条第二款规定的,责令限期改正;逾期不改正的,对其直接负责的主管人员和其他直接责任人员依法给予处分或者给予警告处罚。</w:t>
            </w:r>
          </w:p>
        </w:tc>
        <w:tc>
          <w:tcPr>
            <w:tcW w:w="2126" w:type="dxa"/>
            <w:vAlign w:val="center"/>
          </w:tcPr>
          <w:p>
            <w:pPr>
              <w:numPr>
                <w:ilvl w:val="0"/>
                <w:numId w:val="3"/>
              </w:numPr>
              <w:spacing w:line="240" w:lineRule="exact"/>
              <w:ind w:left="425" w:leftChars="0" w:hanging="425" w:firstLineChars="0"/>
              <w:rPr>
                <w:rFonts w:hint="eastAsia" w:ascii="仿宋_GB2312" w:hAnsi="仿宋_GB2312" w:eastAsia="仿宋_GB2312" w:cs="仿宋_GB2312"/>
                <w:color w:val="auto"/>
                <w:sz w:val="20"/>
                <w:szCs w:val="20"/>
              </w:rPr>
            </w:pPr>
          </w:p>
        </w:tc>
        <w:tc>
          <w:tcPr>
            <w:tcW w:w="992" w:type="dxa"/>
            <w:vAlign w:val="center"/>
          </w:tcPr>
          <w:p>
            <w:pPr>
              <w:numPr>
                <w:ilvl w:val="0"/>
                <w:numId w:val="4"/>
              </w:numPr>
              <w:spacing w:line="240" w:lineRule="exact"/>
              <w:ind w:left="425" w:leftChars="0" w:hanging="425" w:firstLineChars="0"/>
              <w:rPr>
                <w:rFonts w:hint="eastAsia" w:ascii="仿宋_GB2312" w:hAnsi="仿宋_GB2312" w:eastAsia="仿宋_GB2312" w:cs="仿宋_GB2312"/>
                <w:color w:val="auto"/>
                <w:sz w:val="20"/>
                <w:szCs w:val="20"/>
              </w:rPr>
            </w:pPr>
          </w:p>
        </w:tc>
        <w:tc>
          <w:tcPr>
            <w:tcW w:w="1010" w:type="dxa"/>
            <w:vAlign w:val="center"/>
          </w:tcPr>
          <w:p>
            <w:pPr>
              <w:spacing w:line="240" w:lineRule="exact"/>
              <w:rPr>
                <w:rFonts w:hint="eastAsia" w:ascii="仿宋_GB2312" w:hAnsi="仿宋_GB2312" w:eastAsia="仿宋_GB2312" w:cs="仿宋_GB2312"/>
                <w:color w:val="auto"/>
                <w:sz w:val="20"/>
                <w:szCs w:val="20"/>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55" w:hRule="atLeast"/>
          <w:jc w:val="center"/>
        </w:trPr>
        <w:tc>
          <w:tcPr>
            <w:tcW w:w="758" w:type="dxa"/>
            <w:vAlign w:val="center"/>
          </w:tcPr>
          <w:p>
            <w:pPr>
              <w:numPr>
                <w:ilvl w:val="0"/>
                <w:numId w:val="1"/>
              </w:numPr>
              <w:spacing w:line="240" w:lineRule="exact"/>
              <w:ind w:left="425" w:leftChars="0" w:hanging="425" w:firstLineChars="0"/>
              <w:jc w:val="center"/>
              <w:rPr>
                <w:rFonts w:hint="eastAsia" w:ascii="仿宋_GB2312" w:hAnsi="仿宋_GB2312" w:eastAsia="仿宋_GB2312" w:cs="仿宋_GB2312"/>
                <w:color w:val="auto"/>
                <w:sz w:val="20"/>
                <w:szCs w:val="20"/>
                <w:lang w:val="en-US" w:eastAsia="zh-CN"/>
              </w:rPr>
            </w:pPr>
          </w:p>
        </w:tc>
        <w:tc>
          <w:tcPr>
            <w:tcW w:w="3108" w:type="dx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0"/>
                <w:szCs w:val="20"/>
                <w:u w:val="none"/>
                <w:lang w:val="en-US" w:eastAsia="zh-CN" w:bidi="ar"/>
              </w:rPr>
            </w:pPr>
            <w:r>
              <w:rPr>
                <w:rFonts w:hint="eastAsia" w:ascii="仿宋_GB2312" w:hAnsi="仿宋_GB2312" w:eastAsia="仿宋_GB2312" w:cs="仿宋_GB2312"/>
                <w:i w:val="0"/>
                <w:iCs w:val="0"/>
                <w:color w:val="auto"/>
                <w:kern w:val="0"/>
                <w:sz w:val="20"/>
                <w:szCs w:val="20"/>
                <w:u w:val="none"/>
                <w:lang w:val="en-US" w:eastAsia="zh-CN" w:bidi="ar"/>
              </w:rPr>
              <w:t>对不履行组织、引导在场人员疏散义务的行政处罚</w:t>
            </w:r>
          </w:p>
        </w:tc>
        <w:tc>
          <w:tcPr>
            <w:tcW w:w="1286" w:type="dxa"/>
            <w:vAlign w:val="center"/>
          </w:tcPr>
          <w:p>
            <w:pPr>
              <w:numPr>
                <w:ilvl w:val="0"/>
                <w:numId w:val="2"/>
              </w:numPr>
              <w:spacing w:line="240" w:lineRule="exact"/>
              <w:ind w:left="425" w:leftChars="0" w:hanging="425" w:firstLineChars="0"/>
              <w:rPr>
                <w:rFonts w:hint="eastAsia" w:ascii="仿宋_GB2312" w:hAnsi="仿宋_GB2312" w:eastAsia="仿宋_GB2312" w:cs="仿宋_GB2312"/>
                <w:color w:val="auto"/>
                <w:sz w:val="20"/>
                <w:szCs w:val="20"/>
              </w:rPr>
            </w:pPr>
          </w:p>
        </w:tc>
        <w:tc>
          <w:tcPr>
            <w:tcW w:w="4253" w:type="dxa"/>
            <w:vAlign w:val="center"/>
          </w:tcPr>
          <w:p>
            <w:pPr>
              <w:keepNext w:val="0"/>
              <w:keepLines w:val="0"/>
              <w:widowControl/>
              <w:suppressLineNumbers w:val="0"/>
              <w:jc w:val="left"/>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《中华人民共和国消防法》第六十八条 人员密集场所发生火灾,该场所的现场工作人员不履行组织、引导在场人员疏散的义务,情节严重,尚不构成犯罪的,处五日以上十日以下拘留。</w:t>
            </w:r>
          </w:p>
        </w:tc>
        <w:tc>
          <w:tcPr>
            <w:tcW w:w="2126" w:type="dxa"/>
            <w:vAlign w:val="center"/>
          </w:tcPr>
          <w:p>
            <w:pPr>
              <w:numPr>
                <w:ilvl w:val="0"/>
                <w:numId w:val="3"/>
              </w:numPr>
              <w:spacing w:line="240" w:lineRule="exact"/>
              <w:ind w:left="425" w:leftChars="0" w:hanging="425" w:firstLineChars="0"/>
              <w:rPr>
                <w:rFonts w:hint="eastAsia" w:ascii="仿宋_GB2312" w:hAnsi="仿宋_GB2312" w:eastAsia="仿宋_GB2312" w:cs="仿宋_GB2312"/>
                <w:color w:val="auto"/>
                <w:sz w:val="20"/>
                <w:szCs w:val="20"/>
              </w:rPr>
            </w:pPr>
          </w:p>
        </w:tc>
        <w:tc>
          <w:tcPr>
            <w:tcW w:w="992" w:type="dxa"/>
            <w:vAlign w:val="center"/>
          </w:tcPr>
          <w:p>
            <w:pPr>
              <w:numPr>
                <w:ilvl w:val="0"/>
                <w:numId w:val="4"/>
              </w:numPr>
              <w:spacing w:line="240" w:lineRule="exact"/>
              <w:ind w:left="425" w:leftChars="0" w:hanging="425" w:firstLineChars="0"/>
              <w:rPr>
                <w:rFonts w:hint="eastAsia" w:ascii="仿宋_GB2312" w:hAnsi="仿宋_GB2312" w:eastAsia="仿宋_GB2312" w:cs="仿宋_GB2312"/>
                <w:color w:val="auto"/>
                <w:sz w:val="20"/>
                <w:szCs w:val="20"/>
              </w:rPr>
            </w:pPr>
          </w:p>
        </w:tc>
        <w:tc>
          <w:tcPr>
            <w:tcW w:w="1010" w:type="dxa"/>
            <w:vAlign w:val="center"/>
          </w:tcPr>
          <w:p>
            <w:pPr>
              <w:spacing w:line="240" w:lineRule="exact"/>
              <w:rPr>
                <w:rFonts w:hint="eastAsia" w:ascii="仿宋_GB2312" w:hAnsi="仿宋_GB2312" w:eastAsia="仿宋_GB2312" w:cs="仿宋_GB2312"/>
                <w:color w:val="auto"/>
                <w:sz w:val="20"/>
                <w:szCs w:val="20"/>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55" w:hRule="atLeast"/>
          <w:jc w:val="center"/>
        </w:trPr>
        <w:tc>
          <w:tcPr>
            <w:tcW w:w="758" w:type="dxa"/>
            <w:vAlign w:val="center"/>
          </w:tcPr>
          <w:p>
            <w:pPr>
              <w:numPr>
                <w:ilvl w:val="0"/>
                <w:numId w:val="1"/>
              </w:numPr>
              <w:spacing w:line="240" w:lineRule="exact"/>
              <w:ind w:left="425" w:leftChars="0" w:hanging="425" w:firstLineChars="0"/>
              <w:jc w:val="center"/>
              <w:rPr>
                <w:rFonts w:hint="eastAsia" w:ascii="仿宋_GB2312" w:hAnsi="仿宋_GB2312" w:eastAsia="仿宋_GB2312" w:cs="仿宋_GB2312"/>
                <w:color w:val="auto"/>
                <w:sz w:val="20"/>
                <w:szCs w:val="20"/>
                <w:lang w:val="en-US" w:eastAsia="zh-CN"/>
              </w:rPr>
            </w:pPr>
          </w:p>
        </w:tc>
        <w:tc>
          <w:tcPr>
            <w:tcW w:w="3108" w:type="dx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0"/>
                <w:szCs w:val="20"/>
                <w:u w:val="none"/>
                <w:lang w:val="en-US" w:eastAsia="zh-CN" w:bidi="ar"/>
              </w:rPr>
            </w:pPr>
            <w:r>
              <w:rPr>
                <w:rFonts w:hint="eastAsia" w:ascii="仿宋_GB2312" w:hAnsi="仿宋_GB2312" w:eastAsia="仿宋_GB2312" w:cs="仿宋_GB2312"/>
                <w:i w:val="0"/>
                <w:iCs w:val="0"/>
                <w:color w:val="auto"/>
                <w:kern w:val="0"/>
                <w:sz w:val="20"/>
                <w:szCs w:val="20"/>
                <w:u w:val="none"/>
                <w:lang w:val="en-US" w:eastAsia="zh-CN" w:bidi="ar"/>
              </w:rPr>
              <w:t>对消防技术服务机构不具备从业条件或者出具虚假文件的行政处罚</w:t>
            </w:r>
          </w:p>
        </w:tc>
        <w:tc>
          <w:tcPr>
            <w:tcW w:w="1286" w:type="dxa"/>
            <w:vAlign w:val="center"/>
          </w:tcPr>
          <w:p>
            <w:pPr>
              <w:numPr>
                <w:ilvl w:val="0"/>
                <w:numId w:val="2"/>
              </w:numPr>
              <w:spacing w:line="240" w:lineRule="exact"/>
              <w:ind w:left="425" w:leftChars="0" w:hanging="425" w:firstLineChars="0"/>
              <w:rPr>
                <w:rFonts w:hint="eastAsia" w:ascii="仿宋_GB2312" w:hAnsi="仿宋_GB2312" w:eastAsia="仿宋_GB2312" w:cs="仿宋_GB2312"/>
                <w:color w:val="auto"/>
                <w:sz w:val="20"/>
                <w:szCs w:val="20"/>
              </w:rPr>
            </w:pPr>
          </w:p>
        </w:tc>
        <w:tc>
          <w:tcPr>
            <w:tcW w:w="4253" w:type="dxa"/>
            <w:vAlign w:val="center"/>
          </w:tcPr>
          <w:p>
            <w:pPr>
              <w:keepNext w:val="0"/>
              <w:keepLines w:val="0"/>
              <w:widowControl/>
              <w:suppressLineNumbers w:val="0"/>
              <w:jc w:val="left"/>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 xml:space="preserve">《中华人民共和国消防法》第六十九条第一款  消防设施维护保养检测、消防安全评估等消防技术服务机构，不具备从业条件从事消防技术服务或者出具虚假文件的，由消防救援机构责令改正，处五万元以上十万元以下罚款，并对直接负责的主管人员和其他直接责任人员处一万元以上五万元以下罚款；不按照国家标准、行业标准开展消防技术服务活动的，责令改正，处五万元以下罚款，并对直接负责的主管人员和其他直接责任人员处一万元以下罚款；有违法所得的，并处没收违法所得；给他人造成损失的，依法承担赔偿责任；情节严重的，依法责令停止执业或者吊销相应资格；造成重大损失的，由相关部门吊销营业执照，并对有关责任人员采取终身市场禁入措施。       《社会消防技术服务管理规定》第二十九条 消防技术服务机构不具备从业条件从事社会消防技术服务活动或者出具虚假文件、失实文件的，或者不按照国家标准、行业标准开展社会消防技术服务活动的，由消防救援机构依照《中华人民共和国消防法》第六十九条的有关规定处罚。              </w:t>
            </w:r>
          </w:p>
        </w:tc>
        <w:tc>
          <w:tcPr>
            <w:tcW w:w="2126" w:type="dxa"/>
            <w:vAlign w:val="center"/>
          </w:tcPr>
          <w:p>
            <w:pPr>
              <w:numPr>
                <w:ilvl w:val="0"/>
                <w:numId w:val="3"/>
              </w:numPr>
              <w:spacing w:line="240" w:lineRule="exact"/>
              <w:ind w:left="425" w:leftChars="0" w:hanging="425" w:firstLineChars="0"/>
              <w:rPr>
                <w:rFonts w:hint="eastAsia" w:ascii="仿宋_GB2312" w:hAnsi="仿宋_GB2312" w:eastAsia="仿宋_GB2312" w:cs="仿宋_GB2312"/>
                <w:color w:val="auto"/>
                <w:sz w:val="20"/>
                <w:szCs w:val="20"/>
              </w:rPr>
            </w:pPr>
          </w:p>
        </w:tc>
        <w:tc>
          <w:tcPr>
            <w:tcW w:w="992" w:type="dxa"/>
            <w:vAlign w:val="center"/>
          </w:tcPr>
          <w:p>
            <w:pPr>
              <w:numPr>
                <w:ilvl w:val="0"/>
                <w:numId w:val="4"/>
              </w:numPr>
              <w:spacing w:line="240" w:lineRule="exact"/>
              <w:ind w:left="425" w:leftChars="0" w:hanging="425" w:firstLineChars="0"/>
              <w:rPr>
                <w:rFonts w:hint="eastAsia" w:ascii="仿宋_GB2312" w:hAnsi="仿宋_GB2312" w:eastAsia="仿宋_GB2312" w:cs="仿宋_GB2312"/>
                <w:color w:val="auto"/>
                <w:sz w:val="20"/>
                <w:szCs w:val="20"/>
              </w:rPr>
            </w:pPr>
          </w:p>
        </w:tc>
        <w:tc>
          <w:tcPr>
            <w:tcW w:w="1010" w:type="dxa"/>
            <w:vAlign w:val="center"/>
          </w:tcPr>
          <w:p>
            <w:pPr>
              <w:spacing w:line="240" w:lineRule="exact"/>
              <w:rPr>
                <w:rFonts w:hint="eastAsia" w:ascii="仿宋_GB2312" w:hAnsi="仿宋_GB2312" w:eastAsia="仿宋_GB2312" w:cs="仿宋_GB2312"/>
                <w:color w:val="auto"/>
                <w:sz w:val="20"/>
                <w:szCs w:val="20"/>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55" w:hRule="atLeast"/>
          <w:jc w:val="center"/>
        </w:trPr>
        <w:tc>
          <w:tcPr>
            <w:tcW w:w="758" w:type="dxa"/>
            <w:vAlign w:val="center"/>
          </w:tcPr>
          <w:p>
            <w:pPr>
              <w:numPr>
                <w:ilvl w:val="0"/>
                <w:numId w:val="1"/>
              </w:numPr>
              <w:spacing w:line="240" w:lineRule="exact"/>
              <w:ind w:left="425" w:leftChars="0" w:hanging="425" w:firstLineChars="0"/>
              <w:jc w:val="center"/>
              <w:rPr>
                <w:rFonts w:hint="eastAsia" w:ascii="仿宋_GB2312" w:hAnsi="仿宋_GB2312" w:eastAsia="仿宋_GB2312" w:cs="仿宋_GB2312"/>
                <w:color w:val="auto"/>
                <w:sz w:val="20"/>
                <w:szCs w:val="20"/>
                <w:lang w:val="en-US" w:eastAsia="zh-CN"/>
              </w:rPr>
            </w:pPr>
          </w:p>
        </w:tc>
        <w:tc>
          <w:tcPr>
            <w:tcW w:w="3108" w:type="dx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0"/>
                <w:szCs w:val="20"/>
                <w:u w:val="none"/>
                <w:lang w:val="en-US" w:eastAsia="zh-CN" w:bidi="ar"/>
              </w:rPr>
            </w:pPr>
            <w:r>
              <w:rPr>
                <w:rFonts w:hint="eastAsia" w:ascii="仿宋_GB2312" w:hAnsi="仿宋_GB2312" w:eastAsia="仿宋_GB2312" w:cs="仿宋_GB2312"/>
                <w:i w:val="0"/>
                <w:iCs w:val="0"/>
                <w:color w:val="auto"/>
                <w:kern w:val="0"/>
                <w:sz w:val="20"/>
                <w:szCs w:val="20"/>
                <w:u w:val="none"/>
                <w:lang w:val="en-US" w:eastAsia="zh-CN" w:bidi="ar"/>
              </w:rPr>
              <w:t>对未按国家标准、行业标准开展执业活动的行政处罚</w:t>
            </w:r>
          </w:p>
        </w:tc>
        <w:tc>
          <w:tcPr>
            <w:tcW w:w="1286" w:type="dxa"/>
            <w:vAlign w:val="center"/>
          </w:tcPr>
          <w:p>
            <w:pPr>
              <w:numPr>
                <w:ilvl w:val="0"/>
                <w:numId w:val="2"/>
              </w:numPr>
              <w:spacing w:line="240" w:lineRule="exact"/>
              <w:ind w:left="425" w:leftChars="0" w:hanging="425" w:firstLineChars="0"/>
              <w:rPr>
                <w:rFonts w:hint="eastAsia" w:ascii="仿宋_GB2312" w:hAnsi="仿宋_GB2312" w:eastAsia="仿宋_GB2312" w:cs="仿宋_GB2312"/>
                <w:color w:val="auto"/>
                <w:sz w:val="20"/>
                <w:szCs w:val="20"/>
              </w:rPr>
            </w:pPr>
          </w:p>
        </w:tc>
        <w:tc>
          <w:tcPr>
            <w:tcW w:w="4253" w:type="dxa"/>
            <w:vAlign w:val="center"/>
          </w:tcPr>
          <w:p>
            <w:pPr>
              <w:keepNext w:val="0"/>
              <w:keepLines w:val="0"/>
              <w:widowControl/>
              <w:suppressLineNumbers w:val="0"/>
              <w:jc w:val="left"/>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《中华人民共和国消防法》第六十九条第一款 不按照国家标准、行业标准开展消防技术服务活动的，责令改正，处五万元以下罚款，并对直接负责的主管人员和其他直接责任人员处一万元以下罚款；有违法所得的，并处没收违法所得；给他人造成损失的，依法承担赔偿责任；情节严重的，依法责令停止执业或者吊销相应资格；造成重大损失的，由相关部门吊销营业执照，并对有关责任人员采取终身市场禁入措施。                               《注册消防工程师管理规定》第五十四条 注册消防工程师未按照国家标准、行业标准开展执业活动的，责令改正，处一千元以上一万元以下罚款。</w:t>
            </w:r>
          </w:p>
        </w:tc>
        <w:tc>
          <w:tcPr>
            <w:tcW w:w="2126" w:type="dxa"/>
            <w:vAlign w:val="center"/>
          </w:tcPr>
          <w:p>
            <w:pPr>
              <w:numPr>
                <w:ilvl w:val="0"/>
                <w:numId w:val="3"/>
              </w:numPr>
              <w:spacing w:line="240" w:lineRule="exact"/>
              <w:ind w:left="425" w:leftChars="0" w:hanging="425" w:firstLineChars="0"/>
              <w:rPr>
                <w:rFonts w:hint="eastAsia" w:ascii="仿宋_GB2312" w:hAnsi="仿宋_GB2312" w:eastAsia="仿宋_GB2312" w:cs="仿宋_GB2312"/>
                <w:color w:val="auto"/>
                <w:sz w:val="20"/>
                <w:szCs w:val="20"/>
              </w:rPr>
            </w:pPr>
          </w:p>
        </w:tc>
        <w:tc>
          <w:tcPr>
            <w:tcW w:w="992" w:type="dxa"/>
            <w:vAlign w:val="center"/>
          </w:tcPr>
          <w:p>
            <w:pPr>
              <w:numPr>
                <w:ilvl w:val="0"/>
                <w:numId w:val="4"/>
              </w:numPr>
              <w:spacing w:line="240" w:lineRule="exact"/>
              <w:ind w:left="425" w:leftChars="0" w:hanging="425" w:firstLineChars="0"/>
              <w:rPr>
                <w:rFonts w:hint="eastAsia" w:ascii="仿宋_GB2312" w:hAnsi="仿宋_GB2312" w:eastAsia="仿宋_GB2312" w:cs="仿宋_GB2312"/>
                <w:color w:val="auto"/>
                <w:sz w:val="20"/>
                <w:szCs w:val="20"/>
              </w:rPr>
            </w:pPr>
          </w:p>
        </w:tc>
        <w:tc>
          <w:tcPr>
            <w:tcW w:w="1010" w:type="dxa"/>
            <w:vAlign w:val="center"/>
          </w:tcPr>
          <w:p>
            <w:pPr>
              <w:spacing w:line="240" w:lineRule="exact"/>
              <w:rPr>
                <w:rFonts w:hint="eastAsia" w:ascii="仿宋_GB2312" w:hAnsi="仿宋_GB2312" w:eastAsia="仿宋_GB2312" w:cs="仿宋_GB2312"/>
                <w:color w:val="auto"/>
                <w:sz w:val="20"/>
                <w:szCs w:val="20"/>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55" w:hRule="atLeast"/>
          <w:jc w:val="center"/>
        </w:trPr>
        <w:tc>
          <w:tcPr>
            <w:tcW w:w="758" w:type="dxa"/>
            <w:vAlign w:val="center"/>
          </w:tcPr>
          <w:p>
            <w:pPr>
              <w:numPr>
                <w:ilvl w:val="0"/>
                <w:numId w:val="1"/>
              </w:numPr>
              <w:spacing w:line="240" w:lineRule="exact"/>
              <w:ind w:left="425" w:leftChars="0" w:hanging="425" w:firstLineChars="0"/>
              <w:jc w:val="center"/>
              <w:rPr>
                <w:rFonts w:hint="eastAsia" w:ascii="仿宋_GB2312" w:hAnsi="仿宋_GB2312" w:eastAsia="仿宋_GB2312" w:cs="仿宋_GB2312"/>
                <w:color w:val="auto"/>
                <w:sz w:val="20"/>
                <w:szCs w:val="20"/>
                <w:lang w:val="en-US" w:eastAsia="zh-CN"/>
              </w:rPr>
            </w:pPr>
          </w:p>
        </w:tc>
        <w:tc>
          <w:tcPr>
            <w:tcW w:w="3108" w:type="dx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0"/>
                <w:szCs w:val="20"/>
                <w:u w:val="none"/>
                <w:lang w:val="en-US" w:eastAsia="zh-CN" w:bidi="ar"/>
              </w:rPr>
            </w:pPr>
            <w:r>
              <w:rPr>
                <w:rFonts w:hint="eastAsia" w:ascii="仿宋_GB2312" w:hAnsi="仿宋_GB2312" w:eastAsia="仿宋_GB2312" w:cs="仿宋_GB2312"/>
                <w:i w:val="0"/>
                <w:iCs w:val="0"/>
                <w:color w:val="auto"/>
                <w:kern w:val="0"/>
                <w:sz w:val="20"/>
                <w:szCs w:val="20"/>
                <w:u w:val="none"/>
                <w:lang w:val="en-US" w:eastAsia="zh-CN" w:bidi="ar"/>
              </w:rPr>
              <w:t>对消防技术服务机构出具失实文件的行政处罚</w:t>
            </w:r>
          </w:p>
        </w:tc>
        <w:tc>
          <w:tcPr>
            <w:tcW w:w="1286" w:type="dxa"/>
            <w:vAlign w:val="center"/>
          </w:tcPr>
          <w:p>
            <w:pPr>
              <w:numPr>
                <w:ilvl w:val="0"/>
                <w:numId w:val="2"/>
              </w:numPr>
              <w:spacing w:line="240" w:lineRule="exact"/>
              <w:ind w:left="425" w:leftChars="0" w:hanging="425" w:firstLineChars="0"/>
              <w:rPr>
                <w:rFonts w:hint="eastAsia" w:ascii="仿宋_GB2312" w:hAnsi="仿宋_GB2312" w:eastAsia="仿宋_GB2312" w:cs="仿宋_GB2312"/>
                <w:color w:val="auto"/>
                <w:sz w:val="20"/>
                <w:szCs w:val="20"/>
              </w:rPr>
            </w:pPr>
          </w:p>
        </w:tc>
        <w:tc>
          <w:tcPr>
            <w:tcW w:w="4253" w:type="dxa"/>
            <w:vAlign w:val="center"/>
          </w:tcPr>
          <w:p>
            <w:pPr>
              <w:keepNext w:val="0"/>
              <w:keepLines w:val="0"/>
              <w:widowControl/>
              <w:suppressLineNumbers w:val="0"/>
              <w:jc w:val="left"/>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 xml:space="preserve">《中华人民共和国消防法》第六十九条第二款 消防技术服务机构出具失实文件，给他人造成损失的，依法承担赔偿责任；造成重大损失的，由消防救援机构依法责令停止执业或者吊销相应资格，由相关部门吊销营业执照，并对有关责任人员采取终身市场禁入措施。                                                                 《社会消防技术服务管理规定》第二十九条 消防技术服务机构不具备从业条件从事社会消防技术服务活动或者出具虚假文件、失实文件的，或者不按照国家标准、行业标准开展社会消防技术服务活动的，由消防救援机构依照《中华人民共和国消防法》第六十九条的有关规定处罚。    </w:t>
            </w:r>
          </w:p>
        </w:tc>
        <w:tc>
          <w:tcPr>
            <w:tcW w:w="2126" w:type="dxa"/>
            <w:vAlign w:val="center"/>
          </w:tcPr>
          <w:p>
            <w:pPr>
              <w:numPr>
                <w:ilvl w:val="0"/>
                <w:numId w:val="3"/>
              </w:numPr>
              <w:spacing w:line="240" w:lineRule="exact"/>
              <w:ind w:left="425" w:leftChars="0" w:hanging="425" w:firstLineChars="0"/>
              <w:rPr>
                <w:rFonts w:hint="eastAsia" w:ascii="仿宋_GB2312" w:hAnsi="仿宋_GB2312" w:eastAsia="仿宋_GB2312" w:cs="仿宋_GB2312"/>
                <w:color w:val="auto"/>
                <w:sz w:val="20"/>
                <w:szCs w:val="20"/>
              </w:rPr>
            </w:pPr>
          </w:p>
        </w:tc>
        <w:tc>
          <w:tcPr>
            <w:tcW w:w="992" w:type="dxa"/>
            <w:vAlign w:val="center"/>
          </w:tcPr>
          <w:p>
            <w:pPr>
              <w:numPr>
                <w:ilvl w:val="0"/>
                <w:numId w:val="4"/>
              </w:numPr>
              <w:spacing w:line="240" w:lineRule="exact"/>
              <w:ind w:left="425" w:leftChars="0" w:hanging="425" w:firstLineChars="0"/>
              <w:rPr>
                <w:rFonts w:hint="eastAsia" w:ascii="仿宋_GB2312" w:hAnsi="仿宋_GB2312" w:eastAsia="仿宋_GB2312" w:cs="仿宋_GB2312"/>
                <w:color w:val="auto"/>
                <w:sz w:val="20"/>
                <w:szCs w:val="20"/>
              </w:rPr>
            </w:pPr>
          </w:p>
        </w:tc>
        <w:tc>
          <w:tcPr>
            <w:tcW w:w="1010" w:type="dxa"/>
            <w:vAlign w:val="center"/>
          </w:tcPr>
          <w:p>
            <w:pPr>
              <w:spacing w:line="240" w:lineRule="exact"/>
              <w:rPr>
                <w:rFonts w:hint="eastAsia" w:ascii="仿宋_GB2312" w:hAnsi="仿宋_GB2312" w:eastAsia="仿宋_GB2312" w:cs="仿宋_GB2312"/>
                <w:color w:val="auto"/>
                <w:sz w:val="20"/>
                <w:szCs w:val="20"/>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55" w:hRule="atLeast"/>
          <w:jc w:val="center"/>
        </w:trPr>
        <w:tc>
          <w:tcPr>
            <w:tcW w:w="758" w:type="dxa"/>
            <w:vAlign w:val="center"/>
          </w:tcPr>
          <w:p>
            <w:pPr>
              <w:numPr>
                <w:ilvl w:val="0"/>
                <w:numId w:val="1"/>
              </w:numPr>
              <w:spacing w:line="240" w:lineRule="exact"/>
              <w:ind w:left="425" w:leftChars="0" w:hanging="425" w:firstLineChars="0"/>
              <w:jc w:val="center"/>
              <w:rPr>
                <w:rFonts w:hint="eastAsia" w:ascii="仿宋_GB2312" w:hAnsi="仿宋_GB2312" w:eastAsia="仿宋_GB2312" w:cs="仿宋_GB2312"/>
                <w:color w:val="auto"/>
                <w:sz w:val="20"/>
                <w:szCs w:val="20"/>
                <w:lang w:val="en-US" w:eastAsia="zh-CN"/>
              </w:rPr>
            </w:pPr>
          </w:p>
        </w:tc>
        <w:tc>
          <w:tcPr>
            <w:tcW w:w="3108" w:type="dx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0"/>
                <w:szCs w:val="20"/>
                <w:u w:val="none"/>
                <w:lang w:val="en-US" w:eastAsia="zh-CN" w:bidi="ar"/>
              </w:rPr>
            </w:pPr>
            <w:r>
              <w:rPr>
                <w:rFonts w:hint="eastAsia" w:ascii="仿宋_GB2312" w:hAnsi="仿宋_GB2312" w:eastAsia="仿宋_GB2312" w:cs="仿宋_GB2312"/>
                <w:i w:val="0"/>
                <w:iCs w:val="0"/>
                <w:color w:val="auto"/>
                <w:kern w:val="0"/>
                <w:sz w:val="20"/>
                <w:szCs w:val="20"/>
                <w:u w:val="none"/>
                <w:lang w:val="en-US" w:eastAsia="zh-CN" w:bidi="ar"/>
              </w:rPr>
              <w:t>对在高层民用建筑公共门厅、疏散走道、楼梯间、安全出口为电动自行车充电拒不改正的行政处罚</w:t>
            </w:r>
          </w:p>
        </w:tc>
        <w:tc>
          <w:tcPr>
            <w:tcW w:w="1286" w:type="dxa"/>
            <w:vAlign w:val="center"/>
          </w:tcPr>
          <w:p>
            <w:pPr>
              <w:numPr>
                <w:ilvl w:val="0"/>
                <w:numId w:val="2"/>
              </w:numPr>
              <w:spacing w:line="240" w:lineRule="exact"/>
              <w:ind w:left="425" w:leftChars="0" w:hanging="425" w:firstLineChars="0"/>
              <w:rPr>
                <w:rFonts w:hint="eastAsia" w:ascii="仿宋_GB2312" w:hAnsi="仿宋_GB2312" w:eastAsia="仿宋_GB2312" w:cs="仿宋_GB2312"/>
                <w:color w:val="auto"/>
                <w:sz w:val="20"/>
                <w:szCs w:val="20"/>
              </w:rPr>
            </w:pPr>
          </w:p>
        </w:tc>
        <w:tc>
          <w:tcPr>
            <w:tcW w:w="4253" w:type="dxa"/>
            <w:vAlign w:val="center"/>
          </w:tcPr>
          <w:p>
            <w:pPr>
              <w:keepNext w:val="0"/>
              <w:keepLines w:val="0"/>
              <w:widowControl/>
              <w:suppressLineNumbers w:val="0"/>
              <w:jc w:val="left"/>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《高层民用建筑消防安全管理规定》第四十七条第七项 高层民用建筑在高层民用建筑的公共门厅、疏散走道、楼梯间、安全出口为电动自行车充电，拒不改正的，由消防救援机构责令改正，对经营性单位和个人处2000元以上10000元以下罚款，对非经营性单位和个人处500元以上1000元以下罚款。</w:t>
            </w:r>
          </w:p>
        </w:tc>
        <w:tc>
          <w:tcPr>
            <w:tcW w:w="2126" w:type="dxa"/>
            <w:vAlign w:val="center"/>
          </w:tcPr>
          <w:p>
            <w:pPr>
              <w:numPr>
                <w:ilvl w:val="0"/>
                <w:numId w:val="3"/>
              </w:numPr>
              <w:spacing w:line="240" w:lineRule="exact"/>
              <w:ind w:left="425" w:leftChars="0" w:hanging="425" w:firstLineChars="0"/>
              <w:rPr>
                <w:rFonts w:hint="eastAsia" w:ascii="仿宋_GB2312" w:hAnsi="仿宋_GB2312" w:eastAsia="仿宋_GB2312" w:cs="仿宋_GB2312"/>
                <w:color w:val="auto"/>
                <w:sz w:val="20"/>
                <w:szCs w:val="20"/>
              </w:rPr>
            </w:pPr>
          </w:p>
        </w:tc>
        <w:tc>
          <w:tcPr>
            <w:tcW w:w="992" w:type="dxa"/>
            <w:vAlign w:val="center"/>
          </w:tcPr>
          <w:p>
            <w:pPr>
              <w:numPr>
                <w:ilvl w:val="0"/>
                <w:numId w:val="4"/>
              </w:numPr>
              <w:spacing w:line="240" w:lineRule="exact"/>
              <w:ind w:left="425" w:leftChars="0" w:hanging="425" w:firstLineChars="0"/>
              <w:rPr>
                <w:rFonts w:hint="eastAsia" w:ascii="仿宋_GB2312" w:hAnsi="仿宋_GB2312" w:eastAsia="仿宋_GB2312" w:cs="仿宋_GB2312"/>
                <w:color w:val="auto"/>
                <w:sz w:val="20"/>
                <w:szCs w:val="20"/>
              </w:rPr>
            </w:pPr>
          </w:p>
        </w:tc>
        <w:tc>
          <w:tcPr>
            <w:tcW w:w="1010" w:type="dxa"/>
            <w:vAlign w:val="center"/>
          </w:tcPr>
          <w:p>
            <w:pPr>
              <w:spacing w:line="240" w:lineRule="exact"/>
              <w:rPr>
                <w:rFonts w:hint="eastAsia" w:ascii="仿宋_GB2312" w:hAnsi="仿宋_GB2312" w:eastAsia="仿宋_GB2312" w:cs="仿宋_GB2312"/>
                <w:color w:val="auto"/>
                <w:sz w:val="20"/>
                <w:szCs w:val="20"/>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55" w:hRule="atLeast"/>
          <w:jc w:val="center"/>
        </w:trPr>
        <w:tc>
          <w:tcPr>
            <w:tcW w:w="758" w:type="dxa"/>
            <w:vAlign w:val="center"/>
          </w:tcPr>
          <w:p>
            <w:pPr>
              <w:numPr>
                <w:ilvl w:val="0"/>
                <w:numId w:val="1"/>
              </w:numPr>
              <w:spacing w:line="240" w:lineRule="exact"/>
              <w:ind w:left="425" w:leftChars="0" w:hanging="425" w:firstLineChars="0"/>
              <w:jc w:val="both"/>
              <w:rPr>
                <w:rFonts w:hint="eastAsia" w:ascii="仿宋_GB2312" w:hAnsi="仿宋_GB2312" w:eastAsia="仿宋_GB2312" w:cs="仿宋_GB2312"/>
                <w:color w:val="auto"/>
                <w:sz w:val="20"/>
                <w:szCs w:val="20"/>
                <w:lang w:val="en-US" w:eastAsia="zh-CN"/>
              </w:rPr>
            </w:pPr>
          </w:p>
        </w:tc>
        <w:tc>
          <w:tcPr>
            <w:tcW w:w="3108" w:type="dx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0"/>
                <w:szCs w:val="20"/>
                <w:u w:val="none"/>
                <w:lang w:val="en-US" w:eastAsia="zh-CN" w:bidi="ar"/>
              </w:rPr>
            </w:pPr>
            <w:r>
              <w:rPr>
                <w:rFonts w:hint="eastAsia" w:ascii="仿宋_GB2312" w:hAnsi="仿宋_GB2312" w:eastAsia="仿宋_GB2312" w:cs="仿宋_GB2312"/>
                <w:i w:val="0"/>
                <w:iCs w:val="0"/>
                <w:color w:val="auto"/>
                <w:kern w:val="0"/>
                <w:sz w:val="20"/>
                <w:szCs w:val="20"/>
                <w:u w:val="none"/>
                <w:lang w:val="en-US" w:eastAsia="zh-CN" w:bidi="ar"/>
              </w:rPr>
              <w:t>对高层民用建筑未设置外墙外保温材料提示性和警示性标识的行政处罚</w:t>
            </w:r>
          </w:p>
        </w:tc>
        <w:tc>
          <w:tcPr>
            <w:tcW w:w="1286" w:type="dxa"/>
            <w:vAlign w:val="center"/>
          </w:tcPr>
          <w:p>
            <w:pPr>
              <w:numPr>
                <w:ilvl w:val="0"/>
                <w:numId w:val="2"/>
              </w:numPr>
              <w:spacing w:line="240" w:lineRule="exact"/>
              <w:ind w:left="425" w:leftChars="0" w:hanging="425" w:firstLineChars="0"/>
              <w:rPr>
                <w:rFonts w:hint="eastAsia" w:ascii="仿宋_GB2312" w:hAnsi="仿宋_GB2312" w:eastAsia="仿宋_GB2312" w:cs="仿宋_GB2312"/>
                <w:color w:val="auto"/>
                <w:sz w:val="20"/>
                <w:szCs w:val="20"/>
              </w:rPr>
            </w:pPr>
          </w:p>
        </w:tc>
        <w:tc>
          <w:tcPr>
            <w:tcW w:w="4253" w:type="dxa"/>
            <w:vAlign w:val="center"/>
          </w:tcPr>
          <w:p>
            <w:pPr>
              <w:keepNext w:val="0"/>
              <w:keepLines w:val="0"/>
              <w:widowControl/>
              <w:suppressLineNumbers w:val="0"/>
              <w:jc w:val="left"/>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《高层民用建筑消防安全管理规定》第四十七条第三项 高层民用建筑未设置外墙外保温材料提示性和警示性标识的，由消防救援机构责令改正，对经营性单位和个人处2000元以上10000元以下罚款，对非经营性单位和个人处500元以上1000元以下罚款。</w:t>
            </w:r>
          </w:p>
        </w:tc>
        <w:tc>
          <w:tcPr>
            <w:tcW w:w="2126" w:type="dxa"/>
            <w:vAlign w:val="center"/>
          </w:tcPr>
          <w:p>
            <w:pPr>
              <w:numPr>
                <w:ilvl w:val="0"/>
                <w:numId w:val="3"/>
              </w:numPr>
              <w:spacing w:line="240" w:lineRule="exact"/>
              <w:ind w:left="425" w:leftChars="0" w:hanging="425" w:firstLineChars="0"/>
              <w:rPr>
                <w:rFonts w:hint="eastAsia" w:ascii="仿宋_GB2312" w:hAnsi="仿宋_GB2312" w:eastAsia="仿宋_GB2312" w:cs="仿宋_GB2312"/>
                <w:color w:val="auto"/>
                <w:sz w:val="20"/>
                <w:szCs w:val="20"/>
              </w:rPr>
            </w:pPr>
          </w:p>
        </w:tc>
        <w:tc>
          <w:tcPr>
            <w:tcW w:w="992" w:type="dxa"/>
            <w:vAlign w:val="center"/>
          </w:tcPr>
          <w:p>
            <w:pPr>
              <w:numPr>
                <w:ilvl w:val="0"/>
                <w:numId w:val="4"/>
              </w:numPr>
              <w:spacing w:line="240" w:lineRule="exact"/>
              <w:ind w:left="425" w:leftChars="0" w:hanging="425" w:firstLineChars="0"/>
              <w:rPr>
                <w:rFonts w:hint="eastAsia" w:ascii="仿宋_GB2312" w:hAnsi="仿宋_GB2312" w:eastAsia="仿宋_GB2312" w:cs="仿宋_GB2312"/>
                <w:color w:val="auto"/>
                <w:sz w:val="20"/>
                <w:szCs w:val="20"/>
              </w:rPr>
            </w:pPr>
          </w:p>
        </w:tc>
        <w:tc>
          <w:tcPr>
            <w:tcW w:w="1010" w:type="dxa"/>
            <w:vAlign w:val="center"/>
          </w:tcPr>
          <w:p>
            <w:pPr>
              <w:spacing w:line="240" w:lineRule="exact"/>
              <w:rPr>
                <w:rFonts w:hint="eastAsia" w:ascii="仿宋_GB2312" w:hAnsi="仿宋_GB2312" w:eastAsia="仿宋_GB2312" w:cs="仿宋_GB2312"/>
                <w:color w:val="auto"/>
                <w:sz w:val="20"/>
                <w:szCs w:val="20"/>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55" w:hRule="atLeast"/>
          <w:jc w:val="center"/>
        </w:trPr>
        <w:tc>
          <w:tcPr>
            <w:tcW w:w="758" w:type="dxa"/>
            <w:vAlign w:val="center"/>
          </w:tcPr>
          <w:p>
            <w:pPr>
              <w:numPr>
                <w:ilvl w:val="0"/>
                <w:numId w:val="1"/>
              </w:numPr>
              <w:spacing w:line="240" w:lineRule="exact"/>
              <w:ind w:left="425" w:leftChars="0" w:hanging="425" w:firstLineChars="0"/>
              <w:jc w:val="center"/>
              <w:rPr>
                <w:rFonts w:hint="eastAsia" w:ascii="仿宋_GB2312" w:hAnsi="仿宋_GB2312" w:eastAsia="仿宋_GB2312" w:cs="仿宋_GB2312"/>
                <w:color w:val="auto"/>
                <w:sz w:val="20"/>
                <w:szCs w:val="20"/>
                <w:lang w:val="en-US" w:eastAsia="zh-CN"/>
              </w:rPr>
            </w:pPr>
          </w:p>
        </w:tc>
        <w:tc>
          <w:tcPr>
            <w:tcW w:w="3108" w:type="dx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0"/>
                <w:szCs w:val="20"/>
                <w:u w:val="none"/>
                <w:lang w:val="en-US" w:eastAsia="zh-CN" w:bidi="ar"/>
              </w:rPr>
            </w:pPr>
            <w:r>
              <w:rPr>
                <w:rFonts w:hint="eastAsia" w:ascii="仿宋_GB2312" w:hAnsi="仿宋_GB2312" w:eastAsia="仿宋_GB2312" w:cs="仿宋_GB2312"/>
                <w:i w:val="0"/>
                <w:iCs w:val="0"/>
                <w:color w:val="auto"/>
                <w:kern w:val="0"/>
                <w:sz w:val="20"/>
                <w:szCs w:val="20"/>
                <w:u w:val="none"/>
                <w:lang w:val="en-US" w:eastAsia="zh-CN" w:bidi="ar"/>
              </w:rPr>
              <w:t>对高层民用建筑停用建筑消防设施未进行公告、未制定应急预案、未落实防范措施的行政处罚</w:t>
            </w:r>
          </w:p>
        </w:tc>
        <w:tc>
          <w:tcPr>
            <w:tcW w:w="1286" w:type="dxa"/>
            <w:vAlign w:val="center"/>
          </w:tcPr>
          <w:p>
            <w:pPr>
              <w:numPr>
                <w:ilvl w:val="0"/>
                <w:numId w:val="2"/>
              </w:numPr>
              <w:spacing w:line="240" w:lineRule="exact"/>
              <w:ind w:left="425" w:leftChars="0" w:hanging="425" w:firstLineChars="0"/>
              <w:rPr>
                <w:rFonts w:hint="eastAsia" w:ascii="仿宋_GB2312" w:hAnsi="仿宋_GB2312" w:eastAsia="仿宋_GB2312" w:cs="仿宋_GB2312"/>
                <w:color w:val="auto"/>
                <w:sz w:val="20"/>
                <w:szCs w:val="20"/>
              </w:rPr>
            </w:pPr>
          </w:p>
        </w:tc>
        <w:tc>
          <w:tcPr>
            <w:tcW w:w="4253" w:type="dxa"/>
            <w:vAlign w:val="center"/>
          </w:tcPr>
          <w:p>
            <w:pPr>
              <w:keepNext w:val="0"/>
              <w:keepLines w:val="0"/>
              <w:widowControl/>
              <w:suppressLineNumbers w:val="0"/>
              <w:jc w:val="left"/>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《高层民用建筑消防安全管理规定》第四十七条第六项 高层民用建筑因维修等需要停用建筑消防设施未进行公告、未制定应急预案或者未落实防范措施的，由消防救援机构责令改正，对经营性单位和个人处2000元以上10000元以下罚款，对非经营性单位和个人处500元以上1000元以下罚款。</w:t>
            </w:r>
          </w:p>
        </w:tc>
        <w:tc>
          <w:tcPr>
            <w:tcW w:w="2126" w:type="dxa"/>
            <w:vAlign w:val="center"/>
          </w:tcPr>
          <w:p>
            <w:pPr>
              <w:numPr>
                <w:ilvl w:val="0"/>
                <w:numId w:val="3"/>
              </w:numPr>
              <w:spacing w:line="240" w:lineRule="exact"/>
              <w:ind w:left="425" w:leftChars="0" w:hanging="425" w:firstLineChars="0"/>
              <w:rPr>
                <w:rFonts w:hint="eastAsia" w:ascii="仿宋_GB2312" w:hAnsi="仿宋_GB2312" w:eastAsia="仿宋_GB2312" w:cs="仿宋_GB2312"/>
                <w:color w:val="auto"/>
                <w:sz w:val="20"/>
                <w:szCs w:val="20"/>
              </w:rPr>
            </w:pPr>
          </w:p>
        </w:tc>
        <w:tc>
          <w:tcPr>
            <w:tcW w:w="992" w:type="dxa"/>
            <w:vAlign w:val="center"/>
          </w:tcPr>
          <w:p>
            <w:pPr>
              <w:numPr>
                <w:ilvl w:val="0"/>
                <w:numId w:val="4"/>
              </w:numPr>
              <w:spacing w:line="240" w:lineRule="exact"/>
              <w:ind w:left="425" w:leftChars="0" w:hanging="425" w:firstLineChars="0"/>
              <w:rPr>
                <w:rFonts w:hint="eastAsia" w:ascii="仿宋_GB2312" w:hAnsi="仿宋_GB2312" w:eastAsia="仿宋_GB2312" w:cs="仿宋_GB2312"/>
                <w:color w:val="auto"/>
                <w:sz w:val="20"/>
                <w:szCs w:val="20"/>
              </w:rPr>
            </w:pPr>
          </w:p>
        </w:tc>
        <w:tc>
          <w:tcPr>
            <w:tcW w:w="1010" w:type="dxa"/>
            <w:vAlign w:val="center"/>
          </w:tcPr>
          <w:p>
            <w:pPr>
              <w:spacing w:line="240" w:lineRule="exact"/>
              <w:rPr>
                <w:rFonts w:hint="eastAsia" w:ascii="仿宋_GB2312" w:hAnsi="仿宋_GB2312" w:eastAsia="仿宋_GB2312" w:cs="仿宋_GB2312"/>
                <w:color w:val="auto"/>
                <w:sz w:val="20"/>
                <w:szCs w:val="20"/>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55" w:hRule="atLeast"/>
          <w:jc w:val="center"/>
        </w:trPr>
        <w:tc>
          <w:tcPr>
            <w:tcW w:w="758" w:type="dxa"/>
            <w:vAlign w:val="center"/>
          </w:tcPr>
          <w:p>
            <w:pPr>
              <w:numPr>
                <w:ilvl w:val="0"/>
                <w:numId w:val="1"/>
              </w:numPr>
              <w:spacing w:line="240" w:lineRule="exact"/>
              <w:ind w:left="425" w:leftChars="0" w:hanging="425" w:firstLineChars="0"/>
              <w:jc w:val="center"/>
              <w:rPr>
                <w:rFonts w:hint="eastAsia" w:ascii="仿宋_GB2312" w:hAnsi="仿宋_GB2312" w:eastAsia="仿宋_GB2312" w:cs="仿宋_GB2312"/>
                <w:color w:val="auto"/>
                <w:sz w:val="20"/>
                <w:szCs w:val="20"/>
                <w:lang w:val="en-US" w:eastAsia="zh-CN"/>
              </w:rPr>
            </w:pPr>
          </w:p>
        </w:tc>
        <w:tc>
          <w:tcPr>
            <w:tcW w:w="3108" w:type="dx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0"/>
                <w:szCs w:val="20"/>
                <w:u w:val="none"/>
                <w:lang w:val="en-US" w:eastAsia="zh-CN" w:bidi="ar"/>
              </w:rPr>
            </w:pPr>
            <w:r>
              <w:rPr>
                <w:rFonts w:hint="eastAsia" w:ascii="仿宋_GB2312" w:hAnsi="仿宋_GB2312" w:eastAsia="仿宋_GB2312" w:cs="仿宋_GB2312"/>
                <w:i w:val="0"/>
                <w:iCs w:val="0"/>
                <w:color w:val="auto"/>
                <w:kern w:val="0"/>
                <w:sz w:val="20"/>
                <w:szCs w:val="20"/>
                <w:u w:val="none"/>
                <w:lang w:val="en-US" w:eastAsia="zh-CN" w:bidi="ar"/>
              </w:rPr>
              <w:t>对高层民用建筑消防控制室未实行二十四小时值班制度的行政处罚</w:t>
            </w:r>
          </w:p>
        </w:tc>
        <w:tc>
          <w:tcPr>
            <w:tcW w:w="1286" w:type="dxa"/>
            <w:vAlign w:val="center"/>
          </w:tcPr>
          <w:p>
            <w:pPr>
              <w:numPr>
                <w:ilvl w:val="0"/>
                <w:numId w:val="2"/>
              </w:numPr>
              <w:spacing w:line="240" w:lineRule="exact"/>
              <w:ind w:left="425" w:leftChars="0" w:hanging="425" w:firstLineChars="0"/>
              <w:rPr>
                <w:rFonts w:hint="eastAsia" w:ascii="仿宋_GB2312" w:hAnsi="仿宋_GB2312" w:eastAsia="仿宋_GB2312" w:cs="仿宋_GB2312"/>
                <w:color w:val="auto"/>
                <w:sz w:val="20"/>
                <w:szCs w:val="20"/>
              </w:rPr>
            </w:pPr>
          </w:p>
        </w:tc>
        <w:tc>
          <w:tcPr>
            <w:tcW w:w="4253" w:type="dxa"/>
            <w:vAlign w:val="center"/>
          </w:tcPr>
          <w:p>
            <w:pPr>
              <w:keepNext w:val="0"/>
              <w:keepLines w:val="0"/>
              <w:widowControl/>
              <w:suppressLineNumbers w:val="0"/>
              <w:jc w:val="left"/>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《高层民用建筑消防安全管理规定》第四十七条第四项 高层民用建筑未按照规定落实消防控制室值班制度的，由消防救援机构责令改正，对经营性单位和个人处2000元以上10000元以下罚款，对非经营性单位和个人处500元以上1000元以下罚款。</w:t>
            </w:r>
          </w:p>
        </w:tc>
        <w:tc>
          <w:tcPr>
            <w:tcW w:w="2126" w:type="dxa"/>
            <w:vAlign w:val="center"/>
          </w:tcPr>
          <w:p>
            <w:pPr>
              <w:numPr>
                <w:ilvl w:val="0"/>
                <w:numId w:val="3"/>
              </w:numPr>
              <w:spacing w:line="240" w:lineRule="exact"/>
              <w:ind w:left="425" w:leftChars="0" w:hanging="425" w:firstLineChars="0"/>
              <w:rPr>
                <w:rFonts w:hint="eastAsia" w:ascii="仿宋_GB2312" w:hAnsi="仿宋_GB2312" w:eastAsia="仿宋_GB2312" w:cs="仿宋_GB2312"/>
                <w:color w:val="auto"/>
                <w:sz w:val="20"/>
                <w:szCs w:val="20"/>
              </w:rPr>
            </w:pPr>
          </w:p>
        </w:tc>
        <w:tc>
          <w:tcPr>
            <w:tcW w:w="992" w:type="dxa"/>
            <w:vAlign w:val="center"/>
          </w:tcPr>
          <w:p>
            <w:pPr>
              <w:numPr>
                <w:ilvl w:val="0"/>
                <w:numId w:val="4"/>
              </w:numPr>
              <w:spacing w:line="240" w:lineRule="exact"/>
              <w:ind w:left="425" w:leftChars="0" w:hanging="425" w:firstLineChars="0"/>
              <w:rPr>
                <w:rFonts w:hint="eastAsia" w:ascii="仿宋_GB2312" w:hAnsi="仿宋_GB2312" w:eastAsia="仿宋_GB2312" w:cs="仿宋_GB2312"/>
                <w:color w:val="auto"/>
                <w:sz w:val="20"/>
                <w:szCs w:val="20"/>
              </w:rPr>
            </w:pPr>
          </w:p>
        </w:tc>
        <w:tc>
          <w:tcPr>
            <w:tcW w:w="1010" w:type="dxa"/>
            <w:vAlign w:val="center"/>
          </w:tcPr>
          <w:p>
            <w:pPr>
              <w:spacing w:line="240" w:lineRule="exact"/>
              <w:rPr>
                <w:rFonts w:hint="eastAsia" w:ascii="仿宋_GB2312" w:hAnsi="仿宋_GB2312" w:eastAsia="仿宋_GB2312" w:cs="仿宋_GB2312"/>
                <w:color w:val="auto"/>
                <w:sz w:val="20"/>
                <w:szCs w:val="20"/>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55" w:hRule="atLeast"/>
          <w:jc w:val="center"/>
        </w:trPr>
        <w:tc>
          <w:tcPr>
            <w:tcW w:w="758" w:type="dxa"/>
            <w:vAlign w:val="center"/>
          </w:tcPr>
          <w:p>
            <w:pPr>
              <w:numPr>
                <w:ilvl w:val="0"/>
                <w:numId w:val="1"/>
              </w:numPr>
              <w:spacing w:line="240" w:lineRule="exact"/>
              <w:ind w:left="425" w:leftChars="0" w:hanging="425" w:firstLineChars="0"/>
              <w:jc w:val="center"/>
              <w:rPr>
                <w:rFonts w:hint="eastAsia" w:ascii="仿宋_GB2312" w:hAnsi="仿宋_GB2312" w:eastAsia="仿宋_GB2312" w:cs="仿宋_GB2312"/>
                <w:color w:val="auto"/>
                <w:sz w:val="20"/>
                <w:szCs w:val="20"/>
                <w:lang w:val="en-US" w:eastAsia="zh-CN"/>
              </w:rPr>
            </w:pPr>
          </w:p>
        </w:tc>
        <w:tc>
          <w:tcPr>
            <w:tcW w:w="3108" w:type="dx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0"/>
                <w:szCs w:val="20"/>
                <w:u w:val="none"/>
                <w:lang w:val="en-US" w:eastAsia="zh-CN" w:bidi="ar"/>
              </w:rPr>
            </w:pPr>
            <w:r>
              <w:rPr>
                <w:rFonts w:hint="eastAsia" w:ascii="仿宋_GB2312" w:hAnsi="仿宋_GB2312" w:eastAsia="仿宋_GB2312" w:cs="仿宋_GB2312"/>
                <w:i w:val="0"/>
                <w:iCs w:val="0"/>
                <w:color w:val="auto"/>
                <w:kern w:val="0"/>
                <w:sz w:val="20"/>
                <w:szCs w:val="20"/>
                <w:u w:val="none"/>
                <w:lang w:val="en-US" w:eastAsia="zh-CN" w:bidi="ar"/>
              </w:rPr>
              <w:t>对在高层民用建筑公共门厅、疏散走道、楼梯间、安全出口停放电动自行车拒不改正的行政处罚</w:t>
            </w:r>
          </w:p>
        </w:tc>
        <w:tc>
          <w:tcPr>
            <w:tcW w:w="1286" w:type="dxa"/>
            <w:vAlign w:val="center"/>
          </w:tcPr>
          <w:p>
            <w:pPr>
              <w:numPr>
                <w:ilvl w:val="0"/>
                <w:numId w:val="2"/>
              </w:numPr>
              <w:spacing w:line="240" w:lineRule="exact"/>
              <w:ind w:left="425" w:leftChars="0" w:hanging="425" w:firstLineChars="0"/>
              <w:rPr>
                <w:rFonts w:hint="eastAsia" w:ascii="仿宋_GB2312" w:hAnsi="仿宋_GB2312" w:eastAsia="仿宋_GB2312" w:cs="仿宋_GB2312"/>
                <w:color w:val="auto"/>
                <w:sz w:val="20"/>
                <w:szCs w:val="20"/>
              </w:rPr>
            </w:pPr>
          </w:p>
        </w:tc>
        <w:tc>
          <w:tcPr>
            <w:tcW w:w="4253" w:type="dxa"/>
            <w:vAlign w:val="center"/>
          </w:tcPr>
          <w:p>
            <w:pPr>
              <w:keepNext w:val="0"/>
              <w:keepLines w:val="0"/>
              <w:widowControl/>
              <w:suppressLineNumbers w:val="0"/>
              <w:jc w:val="left"/>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《高层民用建筑消防安全管理规定》第四十七条第七项 高层民用建筑在高层民用建筑的公共门厅、疏散走道、楼梯间、安全出口停放电动自行车，拒不改正的，由消防救援机构责令改正，对经营性单位和个人处2000元以上10000元以下罚款，对非经营性单位和个人处500元以上1000元以下罚款。</w:t>
            </w:r>
          </w:p>
        </w:tc>
        <w:tc>
          <w:tcPr>
            <w:tcW w:w="2126" w:type="dxa"/>
            <w:vAlign w:val="center"/>
          </w:tcPr>
          <w:p>
            <w:pPr>
              <w:numPr>
                <w:ilvl w:val="0"/>
                <w:numId w:val="3"/>
              </w:numPr>
              <w:spacing w:line="240" w:lineRule="exact"/>
              <w:ind w:left="425" w:leftChars="0" w:hanging="425" w:firstLineChars="0"/>
              <w:rPr>
                <w:rFonts w:hint="eastAsia" w:ascii="仿宋_GB2312" w:hAnsi="仿宋_GB2312" w:eastAsia="仿宋_GB2312" w:cs="仿宋_GB2312"/>
                <w:color w:val="auto"/>
                <w:sz w:val="20"/>
                <w:szCs w:val="20"/>
              </w:rPr>
            </w:pPr>
          </w:p>
        </w:tc>
        <w:tc>
          <w:tcPr>
            <w:tcW w:w="992" w:type="dxa"/>
            <w:vAlign w:val="center"/>
          </w:tcPr>
          <w:p>
            <w:pPr>
              <w:numPr>
                <w:ilvl w:val="0"/>
                <w:numId w:val="4"/>
              </w:numPr>
              <w:spacing w:line="240" w:lineRule="exact"/>
              <w:ind w:left="425" w:leftChars="0" w:hanging="425" w:firstLineChars="0"/>
              <w:rPr>
                <w:rFonts w:hint="eastAsia" w:ascii="仿宋_GB2312" w:hAnsi="仿宋_GB2312" w:eastAsia="仿宋_GB2312" w:cs="仿宋_GB2312"/>
                <w:color w:val="auto"/>
                <w:sz w:val="20"/>
                <w:szCs w:val="20"/>
              </w:rPr>
            </w:pPr>
          </w:p>
        </w:tc>
        <w:tc>
          <w:tcPr>
            <w:tcW w:w="1010" w:type="dxa"/>
            <w:vAlign w:val="center"/>
          </w:tcPr>
          <w:p>
            <w:pPr>
              <w:spacing w:line="240" w:lineRule="exact"/>
              <w:rPr>
                <w:rFonts w:hint="eastAsia" w:ascii="仿宋_GB2312" w:hAnsi="仿宋_GB2312" w:eastAsia="仿宋_GB2312" w:cs="仿宋_GB2312"/>
                <w:color w:val="auto"/>
                <w:sz w:val="20"/>
                <w:szCs w:val="20"/>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55" w:hRule="atLeast"/>
          <w:jc w:val="center"/>
        </w:trPr>
        <w:tc>
          <w:tcPr>
            <w:tcW w:w="758" w:type="dxa"/>
            <w:vAlign w:val="center"/>
          </w:tcPr>
          <w:p>
            <w:pPr>
              <w:numPr>
                <w:ilvl w:val="0"/>
                <w:numId w:val="1"/>
              </w:numPr>
              <w:spacing w:line="240" w:lineRule="exact"/>
              <w:ind w:left="425" w:leftChars="0" w:hanging="425" w:firstLineChars="0"/>
              <w:jc w:val="center"/>
              <w:rPr>
                <w:rFonts w:hint="eastAsia" w:ascii="仿宋_GB2312" w:hAnsi="仿宋_GB2312" w:eastAsia="仿宋_GB2312" w:cs="仿宋_GB2312"/>
                <w:color w:val="auto"/>
                <w:sz w:val="20"/>
                <w:szCs w:val="20"/>
                <w:lang w:val="en-US" w:eastAsia="zh-CN"/>
              </w:rPr>
            </w:pPr>
          </w:p>
        </w:tc>
        <w:tc>
          <w:tcPr>
            <w:tcW w:w="3108" w:type="dx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0"/>
                <w:szCs w:val="20"/>
                <w:u w:val="none"/>
                <w:lang w:val="en-US" w:eastAsia="zh-CN" w:bidi="ar"/>
              </w:rPr>
            </w:pPr>
            <w:r>
              <w:rPr>
                <w:rFonts w:hint="eastAsia" w:ascii="仿宋_GB2312" w:hAnsi="仿宋_GB2312" w:eastAsia="仿宋_GB2312" w:cs="仿宋_GB2312"/>
                <w:i w:val="0"/>
                <w:iCs w:val="0"/>
                <w:color w:val="auto"/>
                <w:kern w:val="0"/>
                <w:sz w:val="20"/>
                <w:szCs w:val="20"/>
                <w:u w:val="none"/>
                <w:lang w:val="en-US" w:eastAsia="zh-CN" w:bidi="ar"/>
              </w:rPr>
              <w:t>对高层民用建筑未及时修复破损、开裂、脱落外墙外保温系统的行政处罚</w:t>
            </w:r>
          </w:p>
        </w:tc>
        <w:tc>
          <w:tcPr>
            <w:tcW w:w="1286" w:type="dxa"/>
            <w:vAlign w:val="center"/>
          </w:tcPr>
          <w:p>
            <w:pPr>
              <w:numPr>
                <w:ilvl w:val="0"/>
                <w:numId w:val="2"/>
              </w:numPr>
              <w:spacing w:line="240" w:lineRule="exact"/>
              <w:ind w:left="425" w:leftChars="0" w:hanging="425" w:firstLineChars="0"/>
              <w:rPr>
                <w:rFonts w:hint="eastAsia" w:ascii="仿宋_GB2312" w:hAnsi="仿宋_GB2312" w:eastAsia="仿宋_GB2312" w:cs="仿宋_GB2312"/>
                <w:color w:val="auto"/>
                <w:sz w:val="20"/>
                <w:szCs w:val="20"/>
              </w:rPr>
            </w:pPr>
          </w:p>
        </w:tc>
        <w:tc>
          <w:tcPr>
            <w:tcW w:w="4253" w:type="dxa"/>
            <w:vAlign w:val="center"/>
          </w:tcPr>
          <w:p>
            <w:pPr>
              <w:keepNext w:val="0"/>
              <w:keepLines w:val="0"/>
              <w:widowControl/>
              <w:suppressLineNumbers w:val="0"/>
              <w:jc w:val="left"/>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《高层民用建筑消防安全管理规定》第四十七条第三项 高层民用建筑未及时修复破损、开裂和脱落的外墙外保温系统的，由消防救援机构责令改正，对经营性单位和个人处2000元以上10000元以下罚款，对非经营性单位和个人处500元以上1000元以下罚款。</w:t>
            </w:r>
          </w:p>
        </w:tc>
        <w:tc>
          <w:tcPr>
            <w:tcW w:w="2126" w:type="dxa"/>
            <w:vAlign w:val="center"/>
          </w:tcPr>
          <w:p>
            <w:pPr>
              <w:numPr>
                <w:ilvl w:val="0"/>
                <w:numId w:val="3"/>
              </w:numPr>
              <w:spacing w:line="240" w:lineRule="exact"/>
              <w:ind w:left="425" w:leftChars="0" w:hanging="425" w:firstLineChars="0"/>
              <w:rPr>
                <w:rFonts w:hint="eastAsia" w:ascii="仿宋_GB2312" w:hAnsi="仿宋_GB2312" w:eastAsia="仿宋_GB2312" w:cs="仿宋_GB2312"/>
                <w:color w:val="auto"/>
                <w:sz w:val="20"/>
                <w:szCs w:val="20"/>
              </w:rPr>
            </w:pPr>
          </w:p>
        </w:tc>
        <w:tc>
          <w:tcPr>
            <w:tcW w:w="992" w:type="dxa"/>
            <w:vAlign w:val="center"/>
          </w:tcPr>
          <w:p>
            <w:pPr>
              <w:numPr>
                <w:ilvl w:val="0"/>
                <w:numId w:val="4"/>
              </w:numPr>
              <w:spacing w:line="240" w:lineRule="exact"/>
              <w:ind w:left="425" w:leftChars="0" w:hanging="425" w:firstLineChars="0"/>
              <w:rPr>
                <w:rFonts w:hint="eastAsia" w:ascii="仿宋_GB2312" w:hAnsi="仿宋_GB2312" w:eastAsia="仿宋_GB2312" w:cs="仿宋_GB2312"/>
                <w:color w:val="auto"/>
                <w:sz w:val="20"/>
                <w:szCs w:val="20"/>
              </w:rPr>
            </w:pPr>
          </w:p>
        </w:tc>
        <w:tc>
          <w:tcPr>
            <w:tcW w:w="1010" w:type="dxa"/>
            <w:vAlign w:val="center"/>
          </w:tcPr>
          <w:p>
            <w:pPr>
              <w:spacing w:line="240" w:lineRule="exact"/>
              <w:rPr>
                <w:rFonts w:hint="eastAsia" w:ascii="仿宋_GB2312" w:hAnsi="仿宋_GB2312" w:eastAsia="仿宋_GB2312" w:cs="仿宋_GB2312"/>
                <w:color w:val="auto"/>
                <w:sz w:val="20"/>
                <w:szCs w:val="20"/>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55" w:hRule="atLeast"/>
          <w:jc w:val="center"/>
        </w:trPr>
        <w:tc>
          <w:tcPr>
            <w:tcW w:w="758" w:type="dxa"/>
            <w:vAlign w:val="center"/>
          </w:tcPr>
          <w:p>
            <w:pPr>
              <w:numPr>
                <w:ilvl w:val="0"/>
                <w:numId w:val="1"/>
              </w:numPr>
              <w:spacing w:line="240" w:lineRule="exact"/>
              <w:ind w:left="425" w:leftChars="0" w:hanging="425" w:firstLineChars="0"/>
              <w:jc w:val="center"/>
              <w:rPr>
                <w:rFonts w:hint="eastAsia" w:ascii="仿宋_GB2312" w:hAnsi="仿宋_GB2312" w:eastAsia="仿宋_GB2312" w:cs="仿宋_GB2312"/>
                <w:color w:val="auto"/>
                <w:sz w:val="20"/>
                <w:szCs w:val="20"/>
                <w:lang w:val="en-US" w:eastAsia="zh-CN"/>
              </w:rPr>
            </w:pPr>
          </w:p>
        </w:tc>
        <w:tc>
          <w:tcPr>
            <w:tcW w:w="3108" w:type="dx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0"/>
                <w:szCs w:val="20"/>
                <w:u w:val="none"/>
                <w:lang w:val="en-US" w:eastAsia="zh-CN" w:bidi="ar"/>
              </w:rPr>
            </w:pPr>
            <w:r>
              <w:rPr>
                <w:rFonts w:hint="eastAsia" w:ascii="仿宋_GB2312" w:hAnsi="仿宋_GB2312" w:eastAsia="仿宋_GB2312" w:cs="仿宋_GB2312"/>
                <w:i w:val="0"/>
                <w:iCs w:val="0"/>
                <w:color w:val="auto"/>
                <w:kern w:val="0"/>
                <w:sz w:val="20"/>
                <w:szCs w:val="20"/>
                <w:u w:val="none"/>
                <w:lang w:val="en-US" w:eastAsia="zh-CN" w:bidi="ar"/>
              </w:rPr>
              <w:t>对高层民用建筑未按照规定建立专职消防队、志愿消防队等消防组织的行政处罚</w:t>
            </w:r>
          </w:p>
        </w:tc>
        <w:tc>
          <w:tcPr>
            <w:tcW w:w="1286" w:type="dxa"/>
            <w:vAlign w:val="center"/>
          </w:tcPr>
          <w:p>
            <w:pPr>
              <w:numPr>
                <w:ilvl w:val="0"/>
                <w:numId w:val="2"/>
              </w:numPr>
              <w:spacing w:line="240" w:lineRule="exact"/>
              <w:ind w:left="425" w:leftChars="0" w:hanging="425" w:firstLineChars="0"/>
              <w:rPr>
                <w:rFonts w:hint="eastAsia" w:ascii="仿宋_GB2312" w:hAnsi="仿宋_GB2312" w:eastAsia="仿宋_GB2312" w:cs="仿宋_GB2312"/>
                <w:color w:val="auto"/>
                <w:sz w:val="20"/>
                <w:szCs w:val="20"/>
              </w:rPr>
            </w:pPr>
          </w:p>
        </w:tc>
        <w:tc>
          <w:tcPr>
            <w:tcW w:w="4253" w:type="dxa"/>
            <w:vAlign w:val="center"/>
          </w:tcPr>
          <w:p>
            <w:pPr>
              <w:keepNext w:val="0"/>
              <w:keepLines w:val="0"/>
              <w:widowControl/>
              <w:suppressLineNumbers w:val="0"/>
              <w:jc w:val="left"/>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《高层民用建筑消防安全管理规定》第四十七条第五项 高层民用建筑未按照规定建立专职消防队、志愿消防队等消防组织的，由消防救援机构责令改正，对经营性单位和个人处2000元以上10000元以下罚款，对非经营性单位和个人处500元以上1000元以下罚款。</w:t>
            </w:r>
          </w:p>
        </w:tc>
        <w:tc>
          <w:tcPr>
            <w:tcW w:w="2126" w:type="dxa"/>
            <w:vAlign w:val="center"/>
          </w:tcPr>
          <w:p>
            <w:pPr>
              <w:numPr>
                <w:ilvl w:val="0"/>
                <w:numId w:val="3"/>
              </w:numPr>
              <w:spacing w:line="240" w:lineRule="exact"/>
              <w:ind w:left="425" w:leftChars="0" w:hanging="425" w:firstLineChars="0"/>
              <w:rPr>
                <w:rFonts w:hint="eastAsia" w:ascii="仿宋_GB2312" w:hAnsi="仿宋_GB2312" w:eastAsia="仿宋_GB2312" w:cs="仿宋_GB2312"/>
                <w:color w:val="auto"/>
                <w:sz w:val="20"/>
                <w:szCs w:val="20"/>
              </w:rPr>
            </w:pPr>
          </w:p>
        </w:tc>
        <w:tc>
          <w:tcPr>
            <w:tcW w:w="992" w:type="dxa"/>
            <w:vAlign w:val="center"/>
          </w:tcPr>
          <w:p>
            <w:pPr>
              <w:numPr>
                <w:ilvl w:val="0"/>
                <w:numId w:val="4"/>
              </w:numPr>
              <w:spacing w:line="240" w:lineRule="exact"/>
              <w:ind w:left="425" w:leftChars="0" w:hanging="425" w:firstLineChars="0"/>
              <w:rPr>
                <w:rFonts w:hint="eastAsia" w:ascii="仿宋_GB2312" w:hAnsi="仿宋_GB2312" w:eastAsia="仿宋_GB2312" w:cs="仿宋_GB2312"/>
                <w:color w:val="auto"/>
                <w:sz w:val="20"/>
                <w:szCs w:val="20"/>
              </w:rPr>
            </w:pPr>
          </w:p>
        </w:tc>
        <w:tc>
          <w:tcPr>
            <w:tcW w:w="1010" w:type="dxa"/>
            <w:vAlign w:val="center"/>
          </w:tcPr>
          <w:p>
            <w:pPr>
              <w:spacing w:line="240" w:lineRule="exact"/>
              <w:rPr>
                <w:rFonts w:hint="eastAsia" w:ascii="仿宋_GB2312" w:hAnsi="仿宋_GB2312" w:eastAsia="仿宋_GB2312" w:cs="仿宋_GB2312"/>
                <w:color w:val="auto"/>
                <w:sz w:val="20"/>
                <w:szCs w:val="20"/>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55" w:hRule="atLeast"/>
          <w:jc w:val="center"/>
        </w:trPr>
        <w:tc>
          <w:tcPr>
            <w:tcW w:w="758" w:type="dxa"/>
            <w:vAlign w:val="center"/>
          </w:tcPr>
          <w:p>
            <w:pPr>
              <w:numPr>
                <w:ilvl w:val="0"/>
                <w:numId w:val="1"/>
              </w:numPr>
              <w:spacing w:line="240" w:lineRule="exact"/>
              <w:ind w:left="425" w:leftChars="0" w:hanging="425" w:firstLineChars="0"/>
              <w:jc w:val="center"/>
              <w:rPr>
                <w:rFonts w:hint="eastAsia" w:ascii="仿宋_GB2312" w:hAnsi="仿宋_GB2312" w:eastAsia="仿宋_GB2312" w:cs="仿宋_GB2312"/>
                <w:color w:val="auto"/>
                <w:sz w:val="20"/>
                <w:szCs w:val="20"/>
                <w:lang w:val="en-US" w:eastAsia="zh-CN"/>
              </w:rPr>
            </w:pPr>
          </w:p>
        </w:tc>
        <w:tc>
          <w:tcPr>
            <w:tcW w:w="3108" w:type="dx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0"/>
                <w:szCs w:val="20"/>
                <w:u w:val="none"/>
                <w:lang w:val="en-US" w:eastAsia="zh-CN" w:bidi="ar"/>
              </w:rPr>
            </w:pPr>
            <w:r>
              <w:rPr>
                <w:rFonts w:hint="eastAsia" w:ascii="仿宋_GB2312" w:hAnsi="仿宋_GB2312" w:eastAsia="仿宋_GB2312" w:cs="仿宋_GB2312"/>
                <w:i w:val="0"/>
                <w:iCs w:val="0"/>
                <w:color w:val="auto"/>
                <w:kern w:val="0"/>
                <w:sz w:val="20"/>
                <w:szCs w:val="20"/>
                <w:u w:val="none"/>
                <w:lang w:val="en-US" w:eastAsia="zh-CN" w:bidi="ar"/>
              </w:rPr>
              <w:t>对高层民用建筑安排不具备相应条件的人员值班的行政处罚</w:t>
            </w:r>
          </w:p>
        </w:tc>
        <w:tc>
          <w:tcPr>
            <w:tcW w:w="1286" w:type="dxa"/>
            <w:vAlign w:val="center"/>
          </w:tcPr>
          <w:p>
            <w:pPr>
              <w:numPr>
                <w:ilvl w:val="0"/>
                <w:numId w:val="2"/>
              </w:numPr>
              <w:spacing w:line="240" w:lineRule="exact"/>
              <w:ind w:left="425" w:leftChars="0" w:hanging="425" w:firstLineChars="0"/>
              <w:rPr>
                <w:rFonts w:hint="eastAsia" w:ascii="仿宋_GB2312" w:hAnsi="仿宋_GB2312" w:eastAsia="仿宋_GB2312" w:cs="仿宋_GB2312"/>
                <w:color w:val="auto"/>
                <w:sz w:val="20"/>
                <w:szCs w:val="20"/>
              </w:rPr>
            </w:pPr>
          </w:p>
        </w:tc>
        <w:tc>
          <w:tcPr>
            <w:tcW w:w="4253" w:type="dxa"/>
            <w:vAlign w:val="center"/>
          </w:tcPr>
          <w:p>
            <w:pPr>
              <w:keepNext w:val="0"/>
              <w:keepLines w:val="0"/>
              <w:widowControl/>
              <w:suppressLineNumbers w:val="0"/>
              <w:jc w:val="left"/>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《高层民用建筑消防安全管理规定》第四十七条第四项 高层民用建筑安排不具备相应条件的人员值班的，由消防救援机构责令改正，对经营性单位和个人处2000元以上10000元以下罚款，对非经营性单位和个人处500元以上1000元以下罚款。</w:t>
            </w:r>
          </w:p>
        </w:tc>
        <w:tc>
          <w:tcPr>
            <w:tcW w:w="2126" w:type="dxa"/>
            <w:vAlign w:val="center"/>
          </w:tcPr>
          <w:p>
            <w:pPr>
              <w:numPr>
                <w:ilvl w:val="0"/>
                <w:numId w:val="3"/>
              </w:numPr>
              <w:spacing w:line="240" w:lineRule="exact"/>
              <w:ind w:left="425" w:leftChars="0" w:hanging="425" w:firstLineChars="0"/>
              <w:rPr>
                <w:rFonts w:hint="eastAsia" w:ascii="仿宋_GB2312" w:hAnsi="仿宋_GB2312" w:eastAsia="仿宋_GB2312" w:cs="仿宋_GB2312"/>
                <w:color w:val="auto"/>
                <w:sz w:val="20"/>
                <w:szCs w:val="20"/>
              </w:rPr>
            </w:pPr>
          </w:p>
        </w:tc>
        <w:tc>
          <w:tcPr>
            <w:tcW w:w="992" w:type="dxa"/>
            <w:vAlign w:val="center"/>
          </w:tcPr>
          <w:p>
            <w:pPr>
              <w:numPr>
                <w:ilvl w:val="0"/>
                <w:numId w:val="4"/>
              </w:numPr>
              <w:spacing w:line="240" w:lineRule="exact"/>
              <w:ind w:left="425" w:leftChars="0" w:hanging="425" w:firstLineChars="0"/>
              <w:rPr>
                <w:rFonts w:hint="eastAsia" w:ascii="仿宋_GB2312" w:hAnsi="仿宋_GB2312" w:eastAsia="仿宋_GB2312" w:cs="仿宋_GB2312"/>
                <w:color w:val="auto"/>
                <w:sz w:val="20"/>
                <w:szCs w:val="20"/>
              </w:rPr>
            </w:pPr>
          </w:p>
        </w:tc>
        <w:tc>
          <w:tcPr>
            <w:tcW w:w="1010" w:type="dxa"/>
            <w:vAlign w:val="center"/>
          </w:tcPr>
          <w:p>
            <w:pPr>
              <w:spacing w:line="240" w:lineRule="exact"/>
              <w:rPr>
                <w:rFonts w:hint="eastAsia" w:ascii="仿宋_GB2312" w:hAnsi="仿宋_GB2312" w:eastAsia="仿宋_GB2312" w:cs="仿宋_GB2312"/>
                <w:color w:val="auto"/>
                <w:sz w:val="20"/>
                <w:szCs w:val="20"/>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55" w:hRule="atLeast"/>
          <w:jc w:val="center"/>
        </w:trPr>
        <w:tc>
          <w:tcPr>
            <w:tcW w:w="758" w:type="dxa"/>
            <w:vAlign w:val="center"/>
          </w:tcPr>
          <w:p>
            <w:pPr>
              <w:numPr>
                <w:ilvl w:val="0"/>
                <w:numId w:val="1"/>
              </w:numPr>
              <w:spacing w:line="240" w:lineRule="exact"/>
              <w:ind w:left="425" w:leftChars="0" w:hanging="425" w:firstLineChars="0"/>
              <w:jc w:val="center"/>
              <w:rPr>
                <w:rFonts w:hint="eastAsia" w:ascii="仿宋_GB2312" w:hAnsi="仿宋_GB2312" w:eastAsia="仿宋_GB2312" w:cs="仿宋_GB2312"/>
                <w:color w:val="auto"/>
                <w:sz w:val="20"/>
                <w:szCs w:val="20"/>
                <w:lang w:val="en-US" w:eastAsia="zh-CN"/>
              </w:rPr>
            </w:pPr>
          </w:p>
        </w:tc>
        <w:tc>
          <w:tcPr>
            <w:tcW w:w="3108" w:type="dx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0"/>
                <w:szCs w:val="20"/>
                <w:u w:val="none"/>
                <w:lang w:val="en-US" w:eastAsia="zh-CN" w:bidi="ar"/>
              </w:rPr>
            </w:pPr>
            <w:r>
              <w:rPr>
                <w:rFonts w:hint="eastAsia" w:ascii="仿宋_GB2312" w:hAnsi="仿宋_GB2312" w:eastAsia="仿宋_GB2312" w:cs="仿宋_GB2312"/>
                <w:i w:val="0"/>
                <w:iCs w:val="0"/>
                <w:color w:val="auto"/>
                <w:kern w:val="0"/>
                <w:sz w:val="20"/>
                <w:szCs w:val="20"/>
                <w:u w:val="none"/>
                <w:lang w:val="en-US" w:eastAsia="zh-CN" w:bidi="ar"/>
              </w:rPr>
              <w:t>对高层民用建筑户外广告牌、外装饰改变、破坏建筑立面防火结构的行政处罚</w:t>
            </w:r>
          </w:p>
        </w:tc>
        <w:tc>
          <w:tcPr>
            <w:tcW w:w="1286" w:type="dxa"/>
            <w:vAlign w:val="center"/>
          </w:tcPr>
          <w:p>
            <w:pPr>
              <w:numPr>
                <w:ilvl w:val="0"/>
                <w:numId w:val="2"/>
              </w:numPr>
              <w:spacing w:line="240" w:lineRule="exact"/>
              <w:ind w:left="425" w:leftChars="0" w:hanging="425" w:firstLineChars="0"/>
              <w:rPr>
                <w:rFonts w:hint="eastAsia" w:ascii="仿宋_GB2312" w:hAnsi="仿宋_GB2312" w:eastAsia="仿宋_GB2312" w:cs="仿宋_GB2312"/>
                <w:color w:val="auto"/>
                <w:sz w:val="20"/>
                <w:szCs w:val="20"/>
              </w:rPr>
            </w:pPr>
          </w:p>
        </w:tc>
        <w:tc>
          <w:tcPr>
            <w:tcW w:w="4253" w:type="dxa"/>
            <w:vAlign w:val="center"/>
          </w:tcPr>
          <w:p>
            <w:pPr>
              <w:keepNext w:val="0"/>
              <w:keepLines w:val="0"/>
              <w:widowControl/>
              <w:suppressLineNumbers w:val="0"/>
              <w:jc w:val="left"/>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《高层民用建筑消防安全管理规定》第四十七条第二项 高层民用建筑设置的户外广告牌、外装饰改变、破坏建筑立面防火结构的，由消防救援机构责令改正，对经营性单位和个人处2000元以上10000元以下罚款，对非经营性单位和个人处500元以上1000元以下罚款。</w:t>
            </w:r>
          </w:p>
        </w:tc>
        <w:tc>
          <w:tcPr>
            <w:tcW w:w="2126" w:type="dxa"/>
            <w:vAlign w:val="center"/>
          </w:tcPr>
          <w:p>
            <w:pPr>
              <w:numPr>
                <w:ilvl w:val="0"/>
                <w:numId w:val="3"/>
              </w:numPr>
              <w:spacing w:line="240" w:lineRule="exact"/>
              <w:ind w:left="425" w:leftChars="0" w:hanging="425" w:firstLineChars="0"/>
              <w:rPr>
                <w:rFonts w:hint="eastAsia" w:ascii="仿宋_GB2312" w:hAnsi="仿宋_GB2312" w:eastAsia="仿宋_GB2312" w:cs="仿宋_GB2312"/>
                <w:color w:val="auto"/>
                <w:sz w:val="20"/>
                <w:szCs w:val="20"/>
              </w:rPr>
            </w:pPr>
          </w:p>
        </w:tc>
        <w:tc>
          <w:tcPr>
            <w:tcW w:w="992" w:type="dxa"/>
            <w:vAlign w:val="center"/>
          </w:tcPr>
          <w:p>
            <w:pPr>
              <w:numPr>
                <w:ilvl w:val="0"/>
                <w:numId w:val="4"/>
              </w:numPr>
              <w:spacing w:line="240" w:lineRule="exact"/>
              <w:ind w:left="425" w:leftChars="0" w:hanging="425" w:firstLineChars="0"/>
              <w:rPr>
                <w:rFonts w:hint="eastAsia" w:ascii="仿宋_GB2312" w:hAnsi="仿宋_GB2312" w:eastAsia="仿宋_GB2312" w:cs="仿宋_GB2312"/>
                <w:color w:val="auto"/>
                <w:sz w:val="20"/>
                <w:szCs w:val="20"/>
              </w:rPr>
            </w:pPr>
          </w:p>
        </w:tc>
        <w:tc>
          <w:tcPr>
            <w:tcW w:w="1010" w:type="dxa"/>
            <w:vAlign w:val="center"/>
          </w:tcPr>
          <w:p>
            <w:pPr>
              <w:spacing w:line="240" w:lineRule="exact"/>
              <w:rPr>
                <w:rFonts w:hint="eastAsia" w:ascii="仿宋_GB2312" w:hAnsi="仿宋_GB2312" w:eastAsia="仿宋_GB2312" w:cs="仿宋_GB2312"/>
                <w:color w:val="auto"/>
                <w:sz w:val="20"/>
                <w:szCs w:val="20"/>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55" w:hRule="atLeast"/>
          <w:jc w:val="center"/>
        </w:trPr>
        <w:tc>
          <w:tcPr>
            <w:tcW w:w="758" w:type="dxa"/>
            <w:vAlign w:val="center"/>
          </w:tcPr>
          <w:p>
            <w:pPr>
              <w:numPr>
                <w:ilvl w:val="0"/>
                <w:numId w:val="1"/>
              </w:numPr>
              <w:spacing w:line="240" w:lineRule="exact"/>
              <w:ind w:left="425" w:leftChars="0" w:hanging="425" w:firstLineChars="0"/>
              <w:jc w:val="center"/>
              <w:rPr>
                <w:rFonts w:hint="eastAsia" w:ascii="仿宋_GB2312" w:hAnsi="仿宋_GB2312" w:eastAsia="仿宋_GB2312" w:cs="仿宋_GB2312"/>
                <w:color w:val="auto"/>
                <w:sz w:val="20"/>
                <w:szCs w:val="20"/>
                <w:lang w:val="en-US" w:eastAsia="zh-CN"/>
              </w:rPr>
            </w:pPr>
          </w:p>
        </w:tc>
        <w:tc>
          <w:tcPr>
            <w:tcW w:w="3108" w:type="dx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0"/>
                <w:szCs w:val="20"/>
                <w:u w:val="none"/>
                <w:lang w:val="en-US" w:eastAsia="zh-CN" w:bidi="ar"/>
              </w:rPr>
            </w:pPr>
            <w:r>
              <w:rPr>
                <w:rFonts w:hint="eastAsia" w:ascii="仿宋_GB2312" w:hAnsi="仿宋_GB2312" w:eastAsia="仿宋_GB2312" w:cs="仿宋_GB2312"/>
                <w:i w:val="0"/>
                <w:iCs w:val="0"/>
                <w:color w:val="auto"/>
                <w:kern w:val="0"/>
                <w:sz w:val="20"/>
                <w:szCs w:val="20"/>
                <w:u w:val="none"/>
                <w:lang w:val="en-US" w:eastAsia="zh-CN" w:bidi="ar"/>
              </w:rPr>
              <w:t>对高层民用建筑户外广告牌、外装饰妨碍防烟排烟、逃生、灭火救援的行政处罚</w:t>
            </w:r>
          </w:p>
        </w:tc>
        <w:tc>
          <w:tcPr>
            <w:tcW w:w="1286" w:type="dxa"/>
            <w:vAlign w:val="center"/>
          </w:tcPr>
          <w:p>
            <w:pPr>
              <w:numPr>
                <w:ilvl w:val="0"/>
                <w:numId w:val="2"/>
              </w:numPr>
              <w:spacing w:line="240" w:lineRule="exact"/>
              <w:ind w:left="425" w:leftChars="0" w:hanging="425" w:firstLineChars="0"/>
              <w:rPr>
                <w:rFonts w:hint="eastAsia" w:ascii="仿宋_GB2312" w:hAnsi="仿宋_GB2312" w:eastAsia="仿宋_GB2312" w:cs="仿宋_GB2312"/>
                <w:color w:val="auto"/>
                <w:sz w:val="20"/>
                <w:szCs w:val="20"/>
              </w:rPr>
            </w:pPr>
          </w:p>
        </w:tc>
        <w:tc>
          <w:tcPr>
            <w:tcW w:w="4253" w:type="dxa"/>
            <w:vAlign w:val="center"/>
          </w:tcPr>
          <w:p>
            <w:pPr>
              <w:keepNext w:val="0"/>
              <w:keepLines w:val="0"/>
              <w:widowControl/>
              <w:suppressLineNumbers w:val="0"/>
              <w:jc w:val="left"/>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《高层民用建筑消防安全管理规定》第四十七条第二项 高层民用建筑设置的户外广告牌、外装饰妨碍防烟排烟、逃生和灭火救援的，由消防救援机构责令改正，对经营性单位和个人处2000元以上10000元以下罚款，对非经营性单位和个人处500元以上1000元以下罚款。</w:t>
            </w:r>
          </w:p>
        </w:tc>
        <w:tc>
          <w:tcPr>
            <w:tcW w:w="2126" w:type="dxa"/>
            <w:vAlign w:val="center"/>
          </w:tcPr>
          <w:p>
            <w:pPr>
              <w:numPr>
                <w:ilvl w:val="0"/>
                <w:numId w:val="3"/>
              </w:numPr>
              <w:spacing w:line="240" w:lineRule="exact"/>
              <w:ind w:left="425" w:leftChars="0" w:hanging="425" w:firstLineChars="0"/>
              <w:rPr>
                <w:rFonts w:hint="eastAsia" w:ascii="仿宋_GB2312" w:hAnsi="仿宋_GB2312" w:eastAsia="仿宋_GB2312" w:cs="仿宋_GB2312"/>
                <w:color w:val="auto"/>
                <w:sz w:val="20"/>
                <w:szCs w:val="20"/>
              </w:rPr>
            </w:pPr>
          </w:p>
        </w:tc>
        <w:tc>
          <w:tcPr>
            <w:tcW w:w="992" w:type="dxa"/>
            <w:vAlign w:val="center"/>
          </w:tcPr>
          <w:p>
            <w:pPr>
              <w:numPr>
                <w:ilvl w:val="0"/>
                <w:numId w:val="4"/>
              </w:numPr>
              <w:spacing w:line="240" w:lineRule="exact"/>
              <w:ind w:left="425" w:leftChars="0" w:hanging="425" w:firstLineChars="0"/>
              <w:rPr>
                <w:rFonts w:hint="eastAsia" w:ascii="仿宋_GB2312" w:hAnsi="仿宋_GB2312" w:eastAsia="仿宋_GB2312" w:cs="仿宋_GB2312"/>
                <w:color w:val="auto"/>
                <w:sz w:val="20"/>
                <w:szCs w:val="20"/>
              </w:rPr>
            </w:pPr>
          </w:p>
        </w:tc>
        <w:tc>
          <w:tcPr>
            <w:tcW w:w="1010" w:type="dxa"/>
            <w:vAlign w:val="center"/>
          </w:tcPr>
          <w:p>
            <w:pPr>
              <w:spacing w:line="240" w:lineRule="exact"/>
              <w:rPr>
                <w:rFonts w:hint="eastAsia" w:ascii="仿宋_GB2312" w:hAnsi="仿宋_GB2312" w:eastAsia="仿宋_GB2312" w:cs="仿宋_GB2312"/>
                <w:color w:val="auto"/>
                <w:sz w:val="20"/>
                <w:szCs w:val="20"/>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55" w:hRule="atLeast"/>
          <w:jc w:val="center"/>
        </w:trPr>
        <w:tc>
          <w:tcPr>
            <w:tcW w:w="758" w:type="dxa"/>
            <w:vAlign w:val="center"/>
          </w:tcPr>
          <w:p>
            <w:pPr>
              <w:numPr>
                <w:ilvl w:val="0"/>
                <w:numId w:val="1"/>
              </w:numPr>
              <w:spacing w:line="240" w:lineRule="exact"/>
              <w:ind w:left="425" w:leftChars="0" w:hanging="425" w:firstLineChars="0"/>
              <w:jc w:val="center"/>
              <w:rPr>
                <w:rFonts w:hint="eastAsia" w:ascii="仿宋_GB2312" w:hAnsi="仿宋_GB2312" w:eastAsia="仿宋_GB2312" w:cs="仿宋_GB2312"/>
                <w:color w:val="auto"/>
                <w:sz w:val="20"/>
                <w:szCs w:val="20"/>
                <w:lang w:val="en-US" w:eastAsia="zh-CN"/>
              </w:rPr>
            </w:pPr>
          </w:p>
        </w:tc>
        <w:tc>
          <w:tcPr>
            <w:tcW w:w="3108" w:type="dx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0"/>
                <w:szCs w:val="20"/>
                <w:u w:val="none"/>
                <w:lang w:val="en-US" w:eastAsia="zh-CN" w:bidi="ar"/>
              </w:rPr>
            </w:pPr>
            <w:r>
              <w:rPr>
                <w:rFonts w:hint="eastAsia" w:ascii="仿宋_GB2312" w:hAnsi="仿宋_GB2312" w:eastAsia="仿宋_GB2312" w:cs="仿宋_GB2312"/>
                <w:i w:val="0"/>
                <w:iCs w:val="0"/>
                <w:color w:val="auto"/>
                <w:kern w:val="0"/>
                <w:sz w:val="20"/>
                <w:szCs w:val="20"/>
                <w:u w:val="none"/>
                <w:lang w:val="en-US" w:eastAsia="zh-CN" w:bidi="ar"/>
              </w:rPr>
              <w:t>对高层民用建筑进行明火作业未落实消防现场监护措施的行政处罚</w:t>
            </w:r>
          </w:p>
        </w:tc>
        <w:tc>
          <w:tcPr>
            <w:tcW w:w="1286" w:type="dxa"/>
            <w:vAlign w:val="center"/>
          </w:tcPr>
          <w:p>
            <w:pPr>
              <w:numPr>
                <w:ilvl w:val="0"/>
                <w:numId w:val="2"/>
              </w:numPr>
              <w:spacing w:line="240" w:lineRule="exact"/>
              <w:ind w:left="425" w:leftChars="0" w:hanging="425" w:firstLineChars="0"/>
              <w:rPr>
                <w:rFonts w:hint="eastAsia" w:ascii="仿宋_GB2312" w:hAnsi="仿宋_GB2312" w:eastAsia="仿宋_GB2312" w:cs="仿宋_GB2312"/>
                <w:color w:val="auto"/>
                <w:sz w:val="20"/>
                <w:szCs w:val="20"/>
              </w:rPr>
            </w:pPr>
          </w:p>
        </w:tc>
        <w:tc>
          <w:tcPr>
            <w:tcW w:w="4253" w:type="dxa"/>
            <w:vAlign w:val="center"/>
          </w:tcPr>
          <w:p>
            <w:pPr>
              <w:keepNext w:val="0"/>
              <w:keepLines w:val="0"/>
              <w:widowControl/>
              <w:suppressLineNumbers w:val="0"/>
              <w:jc w:val="left"/>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《高层民用建筑消防安全管理规定》第四十七条第一项 在高层民用建筑内进行电焊、气焊等明火作业，未落实消防现场监护措施的,责令改正，对经营性单位和个人处2000元以上10000元以下罚款，对非经营性单位和个人处500元以上1000元以下罚款。</w:t>
            </w:r>
          </w:p>
        </w:tc>
        <w:tc>
          <w:tcPr>
            <w:tcW w:w="2126" w:type="dxa"/>
            <w:vAlign w:val="center"/>
          </w:tcPr>
          <w:p>
            <w:pPr>
              <w:numPr>
                <w:ilvl w:val="0"/>
                <w:numId w:val="3"/>
              </w:numPr>
              <w:spacing w:line="240" w:lineRule="exact"/>
              <w:ind w:left="425" w:leftChars="0" w:hanging="425" w:firstLineChars="0"/>
              <w:rPr>
                <w:rFonts w:hint="eastAsia" w:ascii="仿宋_GB2312" w:hAnsi="仿宋_GB2312" w:eastAsia="仿宋_GB2312" w:cs="仿宋_GB2312"/>
                <w:color w:val="auto"/>
                <w:sz w:val="20"/>
                <w:szCs w:val="20"/>
              </w:rPr>
            </w:pPr>
          </w:p>
        </w:tc>
        <w:tc>
          <w:tcPr>
            <w:tcW w:w="992" w:type="dxa"/>
            <w:vAlign w:val="center"/>
          </w:tcPr>
          <w:p>
            <w:pPr>
              <w:numPr>
                <w:ilvl w:val="0"/>
                <w:numId w:val="4"/>
              </w:numPr>
              <w:spacing w:line="240" w:lineRule="exact"/>
              <w:ind w:left="425" w:leftChars="0" w:hanging="425" w:firstLineChars="0"/>
              <w:rPr>
                <w:rFonts w:hint="eastAsia" w:ascii="仿宋_GB2312" w:hAnsi="仿宋_GB2312" w:eastAsia="仿宋_GB2312" w:cs="仿宋_GB2312"/>
                <w:color w:val="auto"/>
                <w:sz w:val="20"/>
                <w:szCs w:val="20"/>
              </w:rPr>
            </w:pPr>
          </w:p>
        </w:tc>
        <w:tc>
          <w:tcPr>
            <w:tcW w:w="1010" w:type="dxa"/>
            <w:vAlign w:val="center"/>
          </w:tcPr>
          <w:p>
            <w:pPr>
              <w:spacing w:line="240" w:lineRule="exact"/>
              <w:rPr>
                <w:rFonts w:hint="eastAsia" w:ascii="仿宋_GB2312" w:hAnsi="仿宋_GB2312" w:eastAsia="仿宋_GB2312" w:cs="仿宋_GB2312"/>
                <w:color w:val="auto"/>
                <w:sz w:val="20"/>
                <w:szCs w:val="20"/>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55" w:hRule="atLeast"/>
          <w:jc w:val="center"/>
        </w:trPr>
        <w:tc>
          <w:tcPr>
            <w:tcW w:w="758" w:type="dxa"/>
            <w:vAlign w:val="center"/>
          </w:tcPr>
          <w:p>
            <w:pPr>
              <w:numPr>
                <w:ilvl w:val="0"/>
                <w:numId w:val="1"/>
              </w:numPr>
              <w:spacing w:line="240" w:lineRule="exact"/>
              <w:ind w:left="425" w:leftChars="0" w:hanging="425" w:firstLineChars="0"/>
              <w:jc w:val="center"/>
              <w:rPr>
                <w:rFonts w:hint="eastAsia" w:ascii="仿宋_GB2312" w:hAnsi="仿宋_GB2312" w:eastAsia="仿宋_GB2312" w:cs="仿宋_GB2312"/>
                <w:color w:val="auto"/>
                <w:sz w:val="20"/>
                <w:szCs w:val="20"/>
                <w:lang w:val="en-US" w:eastAsia="zh-CN"/>
              </w:rPr>
            </w:pPr>
          </w:p>
        </w:tc>
        <w:tc>
          <w:tcPr>
            <w:tcW w:w="3108" w:type="dx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0"/>
                <w:szCs w:val="20"/>
                <w:u w:val="none"/>
                <w:lang w:val="en-US" w:eastAsia="zh-CN" w:bidi="ar"/>
              </w:rPr>
            </w:pPr>
            <w:r>
              <w:rPr>
                <w:rFonts w:hint="eastAsia" w:ascii="仿宋_GB2312" w:hAnsi="仿宋_GB2312" w:eastAsia="仿宋_GB2312" w:cs="仿宋_GB2312"/>
                <w:i w:val="0"/>
                <w:iCs w:val="0"/>
                <w:color w:val="auto"/>
                <w:kern w:val="0"/>
                <w:sz w:val="20"/>
                <w:szCs w:val="20"/>
                <w:u w:val="none"/>
                <w:lang w:val="en-US" w:eastAsia="zh-CN" w:bidi="ar"/>
              </w:rPr>
              <w:t>对高层民用建筑进行明火作业未履行动火审批手续、进行公告的行政处罚</w:t>
            </w:r>
          </w:p>
        </w:tc>
        <w:tc>
          <w:tcPr>
            <w:tcW w:w="1286" w:type="dxa"/>
            <w:vAlign w:val="center"/>
          </w:tcPr>
          <w:p>
            <w:pPr>
              <w:numPr>
                <w:ilvl w:val="0"/>
                <w:numId w:val="2"/>
              </w:numPr>
              <w:spacing w:line="240" w:lineRule="exact"/>
              <w:ind w:left="425" w:leftChars="0" w:hanging="425" w:firstLineChars="0"/>
              <w:rPr>
                <w:rFonts w:hint="eastAsia" w:ascii="仿宋_GB2312" w:hAnsi="仿宋_GB2312" w:eastAsia="仿宋_GB2312" w:cs="仿宋_GB2312"/>
                <w:color w:val="auto"/>
                <w:sz w:val="20"/>
                <w:szCs w:val="20"/>
              </w:rPr>
            </w:pPr>
          </w:p>
        </w:tc>
        <w:tc>
          <w:tcPr>
            <w:tcW w:w="4253" w:type="dxa"/>
            <w:vAlign w:val="center"/>
          </w:tcPr>
          <w:p>
            <w:pPr>
              <w:keepNext w:val="0"/>
              <w:keepLines w:val="0"/>
              <w:widowControl/>
              <w:suppressLineNumbers w:val="0"/>
              <w:jc w:val="left"/>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《高层民用建筑消防安全管理规定》第四十七条第一项 在高层民用建筑内进行电焊、气焊等明火作业，未履行动火审批手续、进行公告的,由消防救援机构责令改正，对经营性单位和个人处2000元以上10000元以下罚款，对非经营性单位和个人处500元以上1000元以下罚款。</w:t>
            </w:r>
          </w:p>
        </w:tc>
        <w:tc>
          <w:tcPr>
            <w:tcW w:w="2126" w:type="dxa"/>
            <w:vAlign w:val="center"/>
          </w:tcPr>
          <w:p>
            <w:pPr>
              <w:numPr>
                <w:ilvl w:val="0"/>
                <w:numId w:val="3"/>
              </w:numPr>
              <w:spacing w:line="240" w:lineRule="exact"/>
              <w:ind w:left="425" w:leftChars="0" w:hanging="425" w:firstLineChars="0"/>
              <w:rPr>
                <w:rFonts w:hint="eastAsia" w:ascii="仿宋_GB2312" w:hAnsi="仿宋_GB2312" w:eastAsia="仿宋_GB2312" w:cs="仿宋_GB2312"/>
                <w:color w:val="auto"/>
                <w:sz w:val="20"/>
                <w:szCs w:val="20"/>
              </w:rPr>
            </w:pPr>
          </w:p>
        </w:tc>
        <w:tc>
          <w:tcPr>
            <w:tcW w:w="992" w:type="dxa"/>
            <w:vAlign w:val="center"/>
          </w:tcPr>
          <w:p>
            <w:pPr>
              <w:numPr>
                <w:ilvl w:val="0"/>
                <w:numId w:val="4"/>
              </w:numPr>
              <w:spacing w:line="240" w:lineRule="exact"/>
              <w:ind w:left="425" w:leftChars="0" w:hanging="425" w:firstLineChars="0"/>
              <w:rPr>
                <w:rFonts w:hint="eastAsia" w:ascii="仿宋_GB2312" w:hAnsi="仿宋_GB2312" w:eastAsia="仿宋_GB2312" w:cs="仿宋_GB2312"/>
                <w:color w:val="auto"/>
                <w:sz w:val="20"/>
                <w:szCs w:val="20"/>
              </w:rPr>
            </w:pPr>
          </w:p>
        </w:tc>
        <w:tc>
          <w:tcPr>
            <w:tcW w:w="1010" w:type="dxa"/>
            <w:vAlign w:val="center"/>
          </w:tcPr>
          <w:p>
            <w:pPr>
              <w:spacing w:line="240" w:lineRule="exact"/>
              <w:rPr>
                <w:rFonts w:hint="eastAsia" w:ascii="仿宋_GB2312" w:hAnsi="仿宋_GB2312" w:eastAsia="仿宋_GB2312" w:cs="仿宋_GB2312"/>
                <w:color w:val="auto"/>
                <w:sz w:val="20"/>
                <w:szCs w:val="20"/>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55" w:hRule="atLeast"/>
          <w:jc w:val="center"/>
        </w:trPr>
        <w:tc>
          <w:tcPr>
            <w:tcW w:w="758" w:type="dxa"/>
            <w:vAlign w:val="center"/>
          </w:tcPr>
          <w:p>
            <w:pPr>
              <w:numPr>
                <w:ilvl w:val="0"/>
                <w:numId w:val="1"/>
              </w:numPr>
              <w:spacing w:line="240" w:lineRule="exact"/>
              <w:ind w:left="425" w:leftChars="0" w:hanging="425" w:firstLineChars="0"/>
              <w:jc w:val="center"/>
              <w:rPr>
                <w:rFonts w:hint="eastAsia" w:ascii="仿宋_GB2312" w:hAnsi="仿宋_GB2312" w:eastAsia="仿宋_GB2312" w:cs="仿宋_GB2312"/>
                <w:color w:val="auto"/>
                <w:sz w:val="20"/>
                <w:szCs w:val="20"/>
                <w:lang w:val="en-US" w:eastAsia="zh-CN"/>
              </w:rPr>
            </w:pPr>
          </w:p>
        </w:tc>
        <w:tc>
          <w:tcPr>
            <w:tcW w:w="3108" w:type="dx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0"/>
                <w:szCs w:val="20"/>
                <w:u w:val="none"/>
                <w:lang w:val="en-US" w:eastAsia="zh-CN" w:bidi="ar"/>
              </w:rPr>
            </w:pPr>
            <w:r>
              <w:rPr>
                <w:rFonts w:hint="eastAsia" w:ascii="仿宋_GB2312" w:hAnsi="仿宋_GB2312" w:eastAsia="仿宋_GB2312" w:cs="仿宋_GB2312"/>
                <w:i w:val="0"/>
                <w:iCs w:val="0"/>
                <w:color w:val="auto"/>
                <w:kern w:val="0"/>
                <w:sz w:val="20"/>
                <w:szCs w:val="20"/>
                <w:u w:val="none"/>
                <w:lang w:val="en-US" w:eastAsia="zh-CN" w:bidi="ar"/>
              </w:rPr>
              <w:t>对冒名从事社会消防技术服务活动的行政处罚</w:t>
            </w:r>
          </w:p>
        </w:tc>
        <w:tc>
          <w:tcPr>
            <w:tcW w:w="1286" w:type="dxa"/>
            <w:vAlign w:val="center"/>
          </w:tcPr>
          <w:p>
            <w:pPr>
              <w:numPr>
                <w:ilvl w:val="0"/>
                <w:numId w:val="2"/>
              </w:numPr>
              <w:spacing w:line="240" w:lineRule="exact"/>
              <w:ind w:left="425" w:leftChars="0" w:hanging="425" w:firstLineChars="0"/>
              <w:rPr>
                <w:rFonts w:hint="eastAsia" w:ascii="仿宋_GB2312" w:hAnsi="仿宋_GB2312" w:eastAsia="仿宋_GB2312" w:cs="仿宋_GB2312"/>
                <w:color w:val="auto"/>
                <w:sz w:val="20"/>
                <w:szCs w:val="20"/>
              </w:rPr>
            </w:pPr>
          </w:p>
        </w:tc>
        <w:tc>
          <w:tcPr>
            <w:tcW w:w="4253" w:type="dxa"/>
            <w:vAlign w:val="center"/>
          </w:tcPr>
          <w:p>
            <w:pPr>
              <w:keepNext w:val="0"/>
              <w:keepLines w:val="0"/>
              <w:widowControl/>
              <w:suppressLineNumbers w:val="0"/>
              <w:jc w:val="left"/>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《社会消防技术服务管理规定》第二十六条 冒用其他消防技术服务机构名义从事社会消防技术服务活动的，责令改正，处2万元以上3万元以下罚款。</w:t>
            </w:r>
          </w:p>
        </w:tc>
        <w:tc>
          <w:tcPr>
            <w:tcW w:w="2126" w:type="dxa"/>
            <w:vAlign w:val="center"/>
          </w:tcPr>
          <w:p>
            <w:pPr>
              <w:numPr>
                <w:ilvl w:val="0"/>
                <w:numId w:val="3"/>
              </w:numPr>
              <w:spacing w:line="240" w:lineRule="exact"/>
              <w:ind w:left="425" w:leftChars="0" w:hanging="425" w:firstLineChars="0"/>
              <w:rPr>
                <w:rFonts w:hint="eastAsia" w:ascii="仿宋_GB2312" w:hAnsi="仿宋_GB2312" w:eastAsia="仿宋_GB2312" w:cs="仿宋_GB2312"/>
                <w:color w:val="auto"/>
                <w:sz w:val="20"/>
                <w:szCs w:val="20"/>
              </w:rPr>
            </w:pPr>
          </w:p>
        </w:tc>
        <w:tc>
          <w:tcPr>
            <w:tcW w:w="992" w:type="dxa"/>
            <w:vAlign w:val="center"/>
          </w:tcPr>
          <w:p>
            <w:pPr>
              <w:numPr>
                <w:ilvl w:val="0"/>
                <w:numId w:val="4"/>
              </w:numPr>
              <w:spacing w:line="240" w:lineRule="exact"/>
              <w:ind w:left="425" w:leftChars="0" w:hanging="425" w:firstLineChars="0"/>
              <w:rPr>
                <w:rFonts w:hint="eastAsia" w:ascii="仿宋_GB2312" w:hAnsi="仿宋_GB2312" w:eastAsia="仿宋_GB2312" w:cs="仿宋_GB2312"/>
                <w:color w:val="auto"/>
                <w:sz w:val="20"/>
                <w:szCs w:val="20"/>
              </w:rPr>
            </w:pPr>
          </w:p>
        </w:tc>
        <w:tc>
          <w:tcPr>
            <w:tcW w:w="1010" w:type="dxa"/>
            <w:vAlign w:val="center"/>
          </w:tcPr>
          <w:p>
            <w:pPr>
              <w:spacing w:line="240" w:lineRule="exact"/>
              <w:rPr>
                <w:rFonts w:hint="eastAsia" w:ascii="仿宋_GB2312" w:hAnsi="仿宋_GB2312" w:eastAsia="仿宋_GB2312" w:cs="仿宋_GB2312"/>
                <w:color w:val="auto"/>
                <w:sz w:val="20"/>
                <w:szCs w:val="20"/>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55" w:hRule="atLeast"/>
          <w:jc w:val="center"/>
        </w:trPr>
        <w:tc>
          <w:tcPr>
            <w:tcW w:w="758" w:type="dxa"/>
            <w:vAlign w:val="center"/>
          </w:tcPr>
          <w:p>
            <w:pPr>
              <w:numPr>
                <w:ilvl w:val="0"/>
                <w:numId w:val="1"/>
              </w:numPr>
              <w:spacing w:line="240" w:lineRule="exact"/>
              <w:ind w:left="425" w:leftChars="0" w:hanging="425" w:firstLineChars="0"/>
              <w:jc w:val="center"/>
              <w:rPr>
                <w:rFonts w:hint="eastAsia" w:ascii="仿宋_GB2312" w:hAnsi="仿宋_GB2312" w:eastAsia="仿宋_GB2312" w:cs="仿宋_GB2312"/>
                <w:color w:val="auto"/>
                <w:sz w:val="20"/>
                <w:szCs w:val="20"/>
                <w:lang w:val="en-US" w:eastAsia="zh-CN"/>
              </w:rPr>
            </w:pPr>
          </w:p>
        </w:tc>
        <w:tc>
          <w:tcPr>
            <w:tcW w:w="3108" w:type="dx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0"/>
                <w:szCs w:val="20"/>
                <w:u w:val="none"/>
                <w:lang w:val="en-US" w:eastAsia="zh-CN" w:bidi="ar"/>
              </w:rPr>
            </w:pPr>
            <w:r>
              <w:rPr>
                <w:rFonts w:hint="eastAsia" w:ascii="仿宋_GB2312" w:hAnsi="仿宋_GB2312" w:eastAsia="仿宋_GB2312" w:cs="仿宋_GB2312"/>
                <w:i w:val="0"/>
                <w:iCs w:val="0"/>
                <w:color w:val="auto"/>
                <w:kern w:val="0"/>
                <w:sz w:val="20"/>
                <w:szCs w:val="20"/>
                <w:u w:val="none"/>
                <w:lang w:val="en-US" w:eastAsia="zh-CN" w:bidi="ar"/>
              </w:rPr>
              <w:t>对所属注册消防工程师同时在两个以上社会组织执业的行政处罚</w:t>
            </w:r>
          </w:p>
        </w:tc>
        <w:tc>
          <w:tcPr>
            <w:tcW w:w="1286" w:type="dxa"/>
            <w:vAlign w:val="center"/>
          </w:tcPr>
          <w:p>
            <w:pPr>
              <w:numPr>
                <w:ilvl w:val="0"/>
                <w:numId w:val="2"/>
              </w:numPr>
              <w:spacing w:line="240" w:lineRule="exact"/>
              <w:ind w:left="425" w:leftChars="0" w:hanging="425" w:firstLineChars="0"/>
              <w:rPr>
                <w:rFonts w:hint="eastAsia" w:ascii="仿宋_GB2312" w:hAnsi="仿宋_GB2312" w:eastAsia="仿宋_GB2312" w:cs="仿宋_GB2312"/>
                <w:color w:val="auto"/>
                <w:sz w:val="20"/>
                <w:szCs w:val="20"/>
              </w:rPr>
            </w:pPr>
          </w:p>
        </w:tc>
        <w:tc>
          <w:tcPr>
            <w:tcW w:w="4253" w:type="dxa"/>
            <w:vAlign w:val="center"/>
          </w:tcPr>
          <w:p>
            <w:pPr>
              <w:keepNext w:val="0"/>
              <w:keepLines w:val="0"/>
              <w:widowControl/>
              <w:suppressLineNumbers w:val="0"/>
              <w:jc w:val="left"/>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《社会消防技术服务管理规定》第二十七条第一款第一项、第二款  消防技术服务机构所属注册消防工程师同时在两个以上社会组织执业的，责令改正，处1万元以上2万元以下罚款，注册消防工程师，处5000元以上1万元以下罚款。                                                                                               《注册消防工程师管理规定》第五十六条 注册消防工程师同时在两个以上消防技术服务机构或者消防安全重点单位执业的，依据《社会消防技术服务管理规定》第四十七条第二款的规定处罚。</w:t>
            </w:r>
          </w:p>
        </w:tc>
        <w:tc>
          <w:tcPr>
            <w:tcW w:w="2126" w:type="dxa"/>
            <w:vAlign w:val="center"/>
          </w:tcPr>
          <w:p>
            <w:pPr>
              <w:numPr>
                <w:ilvl w:val="0"/>
                <w:numId w:val="3"/>
              </w:numPr>
              <w:spacing w:line="240" w:lineRule="exact"/>
              <w:ind w:left="425" w:leftChars="0" w:hanging="425" w:firstLineChars="0"/>
              <w:rPr>
                <w:rFonts w:hint="eastAsia" w:ascii="仿宋_GB2312" w:hAnsi="仿宋_GB2312" w:eastAsia="仿宋_GB2312" w:cs="仿宋_GB2312"/>
                <w:color w:val="auto"/>
                <w:sz w:val="20"/>
                <w:szCs w:val="20"/>
              </w:rPr>
            </w:pPr>
          </w:p>
        </w:tc>
        <w:tc>
          <w:tcPr>
            <w:tcW w:w="992" w:type="dxa"/>
            <w:vAlign w:val="center"/>
          </w:tcPr>
          <w:p>
            <w:pPr>
              <w:numPr>
                <w:ilvl w:val="0"/>
                <w:numId w:val="4"/>
              </w:numPr>
              <w:spacing w:line="240" w:lineRule="exact"/>
              <w:ind w:left="425" w:leftChars="0" w:hanging="425" w:firstLineChars="0"/>
              <w:rPr>
                <w:rFonts w:hint="eastAsia" w:ascii="仿宋_GB2312" w:hAnsi="仿宋_GB2312" w:eastAsia="仿宋_GB2312" w:cs="仿宋_GB2312"/>
                <w:color w:val="auto"/>
                <w:sz w:val="20"/>
                <w:szCs w:val="20"/>
              </w:rPr>
            </w:pPr>
          </w:p>
        </w:tc>
        <w:tc>
          <w:tcPr>
            <w:tcW w:w="1010" w:type="dxa"/>
            <w:vAlign w:val="center"/>
          </w:tcPr>
          <w:p>
            <w:pPr>
              <w:spacing w:line="240" w:lineRule="exact"/>
              <w:rPr>
                <w:rFonts w:hint="eastAsia" w:ascii="仿宋_GB2312" w:hAnsi="仿宋_GB2312" w:eastAsia="仿宋_GB2312" w:cs="仿宋_GB2312"/>
                <w:color w:val="auto"/>
                <w:sz w:val="20"/>
                <w:szCs w:val="20"/>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55" w:hRule="atLeast"/>
          <w:jc w:val="center"/>
        </w:trPr>
        <w:tc>
          <w:tcPr>
            <w:tcW w:w="758" w:type="dxa"/>
            <w:vAlign w:val="center"/>
          </w:tcPr>
          <w:p>
            <w:pPr>
              <w:numPr>
                <w:ilvl w:val="0"/>
                <w:numId w:val="1"/>
              </w:numPr>
              <w:spacing w:line="240" w:lineRule="exact"/>
              <w:ind w:left="425" w:leftChars="0" w:hanging="425" w:firstLineChars="0"/>
              <w:jc w:val="center"/>
              <w:rPr>
                <w:rFonts w:hint="eastAsia" w:ascii="仿宋_GB2312" w:hAnsi="仿宋_GB2312" w:eastAsia="仿宋_GB2312" w:cs="仿宋_GB2312"/>
                <w:color w:val="auto"/>
                <w:sz w:val="20"/>
                <w:szCs w:val="20"/>
                <w:lang w:val="en-US" w:eastAsia="zh-CN"/>
              </w:rPr>
            </w:pPr>
          </w:p>
        </w:tc>
        <w:tc>
          <w:tcPr>
            <w:tcW w:w="3108" w:type="dx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0"/>
                <w:szCs w:val="20"/>
                <w:u w:val="none"/>
                <w:lang w:val="en-US" w:eastAsia="zh-CN" w:bidi="ar"/>
              </w:rPr>
            </w:pPr>
            <w:r>
              <w:rPr>
                <w:rFonts w:hint="eastAsia" w:ascii="仿宋_GB2312" w:hAnsi="仿宋_GB2312" w:eastAsia="仿宋_GB2312" w:cs="仿宋_GB2312"/>
                <w:i w:val="0"/>
                <w:iCs w:val="0"/>
                <w:color w:val="auto"/>
                <w:kern w:val="0"/>
                <w:sz w:val="20"/>
                <w:szCs w:val="20"/>
                <w:u w:val="none"/>
                <w:lang w:val="en-US" w:eastAsia="zh-CN" w:bidi="ar"/>
              </w:rPr>
              <w:t>对指派无相应资格从业人员从事社会消防技术服务活动的行政处罚</w:t>
            </w:r>
          </w:p>
        </w:tc>
        <w:tc>
          <w:tcPr>
            <w:tcW w:w="1286" w:type="dxa"/>
            <w:vAlign w:val="center"/>
          </w:tcPr>
          <w:p>
            <w:pPr>
              <w:numPr>
                <w:ilvl w:val="0"/>
                <w:numId w:val="2"/>
              </w:numPr>
              <w:spacing w:line="240" w:lineRule="exact"/>
              <w:ind w:left="425" w:leftChars="0" w:hanging="425" w:firstLineChars="0"/>
              <w:rPr>
                <w:rFonts w:hint="eastAsia" w:ascii="仿宋_GB2312" w:hAnsi="仿宋_GB2312" w:eastAsia="仿宋_GB2312" w:cs="仿宋_GB2312"/>
                <w:color w:val="auto"/>
                <w:sz w:val="20"/>
                <w:szCs w:val="20"/>
              </w:rPr>
            </w:pPr>
          </w:p>
        </w:tc>
        <w:tc>
          <w:tcPr>
            <w:tcW w:w="4253" w:type="dxa"/>
            <w:vAlign w:val="center"/>
          </w:tcPr>
          <w:p>
            <w:pPr>
              <w:keepNext w:val="0"/>
              <w:keepLines w:val="0"/>
              <w:widowControl/>
              <w:suppressLineNumbers w:val="0"/>
              <w:jc w:val="left"/>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《社会消防技术服务管理规定》第二十七条第一款第二项 指派无相应资格从业人员从事社会消防技术服务活动的，责令改正，处1万元以下罚款。</w:t>
            </w:r>
          </w:p>
        </w:tc>
        <w:tc>
          <w:tcPr>
            <w:tcW w:w="2126" w:type="dxa"/>
            <w:vAlign w:val="center"/>
          </w:tcPr>
          <w:p>
            <w:pPr>
              <w:numPr>
                <w:ilvl w:val="0"/>
                <w:numId w:val="3"/>
              </w:numPr>
              <w:spacing w:line="240" w:lineRule="exact"/>
              <w:ind w:left="425" w:leftChars="0" w:hanging="425" w:firstLineChars="0"/>
              <w:rPr>
                <w:rFonts w:hint="eastAsia" w:ascii="仿宋_GB2312" w:hAnsi="仿宋_GB2312" w:eastAsia="仿宋_GB2312" w:cs="仿宋_GB2312"/>
                <w:color w:val="auto"/>
                <w:sz w:val="20"/>
                <w:szCs w:val="20"/>
              </w:rPr>
            </w:pPr>
          </w:p>
        </w:tc>
        <w:tc>
          <w:tcPr>
            <w:tcW w:w="992" w:type="dxa"/>
            <w:vAlign w:val="center"/>
          </w:tcPr>
          <w:p>
            <w:pPr>
              <w:numPr>
                <w:ilvl w:val="0"/>
                <w:numId w:val="4"/>
              </w:numPr>
              <w:spacing w:line="240" w:lineRule="exact"/>
              <w:ind w:left="425" w:leftChars="0" w:hanging="425" w:firstLineChars="0"/>
              <w:rPr>
                <w:rFonts w:hint="eastAsia" w:ascii="仿宋_GB2312" w:hAnsi="仿宋_GB2312" w:eastAsia="仿宋_GB2312" w:cs="仿宋_GB2312"/>
                <w:color w:val="auto"/>
                <w:sz w:val="20"/>
                <w:szCs w:val="20"/>
              </w:rPr>
            </w:pPr>
          </w:p>
        </w:tc>
        <w:tc>
          <w:tcPr>
            <w:tcW w:w="1010" w:type="dxa"/>
            <w:vAlign w:val="center"/>
          </w:tcPr>
          <w:p>
            <w:pPr>
              <w:spacing w:line="240" w:lineRule="exact"/>
              <w:rPr>
                <w:rFonts w:hint="eastAsia" w:ascii="仿宋_GB2312" w:hAnsi="仿宋_GB2312" w:eastAsia="仿宋_GB2312" w:cs="仿宋_GB2312"/>
                <w:color w:val="auto"/>
                <w:sz w:val="20"/>
                <w:szCs w:val="20"/>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55" w:hRule="atLeast"/>
          <w:jc w:val="center"/>
        </w:trPr>
        <w:tc>
          <w:tcPr>
            <w:tcW w:w="758" w:type="dxa"/>
            <w:vAlign w:val="center"/>
          </w:tcPr>
          <w:p>
            <w:pPr>
              <w:numPr>
                <w:ilvl w:val="0"/>
                <w:numId w:val="1"/>
              </w:numPr>
              <w:spacing w:line="240" w:lineRule="exact"/>
              <w:ind w:left="425" w:leftChars="0" w:hanging="425" w:firstLineChars="0"/>
              <w:jc w:val="center"/>
              <w:rPr>
                <w:rFonts w:hint="eastAsia" w:ascii="仿宋_GB2312" w:hAnsi="仿宋_GB2312" w:eastAsia="仿宋_GB2312" w:cs="仿宋_GB2312"/>
                <w:color w:val="auto"/>
                <w:sz w:val="20"/>
                <w:szCs w:val="20"/>
                <w:lang w:val="en-US" w:eastAsia="zh-CN"/>
              </w:rPr>
            </w:pPr>
          </w:p>
        </w:tc>
        <w:tc>
          <w:tcPr>
            <w:tcW w:w="3108" w:type="dx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0"/>
                <w:szCs w:val="20"/>
                <w:u w:val="none"/>
                <w:lang w:val="en-US" w:eastAsia="zh-CN" w:bidi="ar"/>
              </w:rPr>
            </w:pPr>
            <w:r>
              <w:rPr>
                <w:rFonts w:hint="eastAsia" w:ascii="仿宋_GB2312" w:hAnsi="仿宋_GB2312" w:eastAsia="仿宋_GB2312" w:cs="仿宋_GB2312"/>
                <w:i w:val="0"/>
                <w:iCs w:val="0"/>
                <w:color w:val="auto"/>
                <w:kern w:val="0"/>
                <w:sz w:val="20"/>
                <w:szCs w:val="20"/>
                <w:u w:val="none"/>
                <w:lang w:val="en-US" w:eastAsia="zh-CN" w:bidi="ar"/>
              </w:rPr>
              <w:t>对转包、分包消防技术服务项目的行政处罚</w:t>
            </w:r>
          </w:p>
        </w:tc>
        <w:tc>
          <w:tcPr>
            <w:tcW w:w="1286" w:type="dxa"/>
            <w:vAlign w:val="center"/>
          </w:tcPr>
          <w:p>
            <w:pPr>
              <w:numPr>
                <w:ilvl w:val="0"/>
                <w:numId w:val="2"/>
              </w:numPr>
              <w:spacing w:line="240" w:lineRule="exact"/>
              <w:ind w:left="425" w:leftChars="0" w:hanging="425" w:firstLineChars="0"/>
              <w:rPr>
                <w:rFonts w:hint="eastAsia" w:ascii="仿宋_GB2312" w:hAnsi="仿宋_GB2312" w:eastAsia="仿宋_GB2312" w:cs="仿宋_GB2312"/>
                <w:color w:val="auto"/>
                <w:sz w:val="20"/>
                <w:szCs w:val="20"/>
              </w:rPr>
            </w:pPr>
          </w:p>
        </w:tc>
        <w:tc>
          <w:tcPr>
            <w:tcW w:w="4253" w:type="dxa"/>
            <w:vAlign w:val="center"/>
          </w:tcPr>
          <w:p>
            <w:pPr>
              <w:keepNext w:val="0"/>
              <w:keepLines w:val="0"/>
              <w:widowControl/>
              <w:suppressLineNumbers w:val="0"/>
              <w:jc w:val="left"/>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《社会消防技术服务管理规定》第二十七条第一款第三项 转包、分包消防技术服务项目的，责令改正，处1万元以下罚款。</w:t>
            </w:r>
          </w:p>
        </w:tc>
        <w:tc>
          <w:tcPr>
            <w:tcW w:w="2126" w:type="dxa"/>
            <w:vAlign w:val="center"/>
          </w:tcPr>
          <w:p>
            <w:pPr>
              <w:numPr>
                <w:ilvl w:val="0"/>
                <w:numId w:val="3"/>
              </w:numPr>
              <w:spacing w:line="240" w:lineRule="exact"/>
              <w:ind w:left="425" w:leftChars="0" w:hanging="425" w:firstLineChars="0"/>
              <w:rPr>
                <w:rFonts w:hint="eastAsia" w:ascii="仿宋_GB2312" w:hAnsi="仿宋_GB2312" w:eastAsia="仿宋_GB2312" w:cs="仿宋_GB2312"/>
                <w:color w:val="auto"/>
                <w:sz w:val="20"/>
                <w:szCs w:val="20"/>
              </w:rPr>
            </w:pPr>
          </w:p>
        </w:tc>
        <w:tc>
          <w:tcPr>
            <w:tcW w:w="992" w:type="dxa"/>
            <w:vAlign w:val="center"/>
          </w:tcPr>
          <w:p>
            <w:pPr>
              <w:numPr>
                <w:ilvl w:val="0"/>
                <w:numId w:val="4"/>
              </w:numPr>
              <w:spacing w:line="240" w:lineRule="exact"/>
              <w:ind w:left="425" w:leftChars="0" w:hanging="425" w:firstLineChars="0"/>
              <w:rPr>
                <w:rFonts w:hint="eastAsia" w:ascii="仿宋_GB2312" w:hAnsi="仿宋_GB2312" w:eastAsia="仿宋_GB2312" w:cs="仿宋_GB2312"/>
                <w:color w:val="auto"/>
                <w:sz w:val="20"/>
                <w:szCs w:val="20"/>
              </w:rPr>
            </w:pPr>
          </w:p>
        </w:tc>
        <w:tc>
          <w:tcPr>
            <w:tcW w:w="1010" w:type="dxa"/>
            <w:vAlign w:val="center"/>
          </w:tcPr>
          <w:p>
            <w:pPr>
              <w:spacing w:line="240" w:lineRule="exact"/>
              <w:rPr>
                <w:rFonts w:hint="eastAsia" w:ascii="仿宋_GB2312" w:hAnsi="仿宋_GB2312" w:eastAsia="仿宋_GB2312" w:cs="仿宋_GB2312"/>
                <w:color w:val="auto"/>
                <w:sz w:val="20"/>
                <w:szCs w:val="20"/>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55" w:hRule="atLeast"/>
          <w:jc w:val="center"/>
        </w:trPr>
        <w:tc>
          <w:tcPr>
            <w:tcW w:w="758" w:type="dxa"/>
            <w:vAlign w:val="center"/>
          </w:tcPr>
          <w:p>
            <w:pPr>
              <w:numPr>
                <w:ilvl w:val="0"/>
                <w:numId w:val="1"/>
              </w:numPr>
              <w:spacing w:line="240" w:lineRule="exact"/>
              <w:ind w:left="425" w:leftChars="0" w:hanging="425" w:firstLineChars="0"/>
              <w:jc w:val="center"/>
              <w:rPr>
                <w:rFonts w:hint="eastAsia" w:ascii="仿宋_GB2312" w:hAnsi="仿宋_GB2312" w:eastAsia="仿宋_GB2312" w:cs="仿宋_GB2312"/>
                <w:color w:val="auto"/>
                <w:sz w:val="20"/>
                <w:szCs w:val="20"/>
                <w:lang w:val="en-US" w:eastAsia="zh-CN"/>
              </w:rPr>
            </w:pPr>
          </w:p>
        </w:tc>
        <w:tc>
          <w:tcPr>
            <w:tcW w:w="3108" w:type="dx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0"/>
                <w:szCs w:val="20"/>
                <w:u w:val="none"/>
                <w:lang w:val="en-US" w:eastAsia="zh-CN" w:bidi="ar"/>
              </w:rPr>
            </w:pPr>
            <w:r>
              <w:rPr>
                <w:rFonts w:hint="eastAsia" w:ascii="仿宋_GB2312" w:hAnsi="仿宋_GB2312" w:eastAsia="仿宋_GB2312" w:cs="仿宋_GB2312"/>
                <w:i w:val="0"/>
                <w:iCs w:val="0"/>
                <w:color w:val="auto"/>
                <w:kern w:val="0"/>
                <w:sz w:val="20"/>
                <w:szCs w:val="20"/>
                <w:u w:val="none"/>
                <w:lang w:val="en-US" w:eastAsia="zh-CN" w:bidi="ar"/>
              </w:rPr>
              <w:t>对未设立技术负责人、明确项目负责人的行政处罚</w:t>
            </w:r>
          </w:p>
        </w:tc>
        <w:tc>
          <w:tcPr>
            <w:tcW w:w="1286" w:type="dxa"/>
            <w:vAlign w:val="center"/>
          </w:tcPr>
          <w:p>
            <w:pPr>
              <w:numPr>
                <w:ilvl w:val="0"/>
                <w:numId w:val="2"/>
              </w:numPr>
              <w:spacing w:line="240" w:lineRule="exact"/>
              <w:ind w:left="425" w:leftChars="0" w:hanging="425" w:firstLineChars="0"/>
              <w:rPr>
                <w:rFonts w:hint="eastAsia" w:ascii="仿宋_GB2312" w:hAnsi="仿宋_GB2312" w:eastAsia="仿宋_GB2312" w:cs="仿宋_GB2312"/>
                <w:color w:val="auto"/>
                <w:sz w:val="20"/>
                <w:szCs w:val="20"/>
              </w:rPr>
            </w:pPr>
          </w:p>
        </w:tc>
        <w:tc>
          <w:tcPr>
            <w:tcW w:w="4253" w:type="dxa"/>
            <w:vAlign w:val="center"/>
          </w:tcPr>
          <w:p>
            <w:pPr>
              <w:keepNext w:val="0"/>
              <w:keepLines w:val="0"/>
              <w:widowControl/>
              <w:suppressLineNumbers w:val="0"/>
              <w:jc w:val="left"/>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《社会消防技术服务管理规定》第二十八条第一项 未设立技术负责人、未明确项目负责人的，责令改正，处1万元以下罚款。</w:t>
            </w:r>
          </w:p>
        </w:tc>
        <w:tc>
          <w:tcPr>
            <w:tcW w:w="2126" w:type="dxa"/>
            <w:vAlign w:val="center"/>
          </w:tcPr>
          <w:p>
            <w:pPr>
              <w:numPr>
                <w:ilvl w:val="0"/>
                <w:numId w:val="3"/>
              </w:numPr>
              <w:spacing w:line="240" w:lineRule="exact"/>
              <w:ind w:left="425" w:leftChars="0" w:hanging="425" w:firstLineChars="0"/>
              <w:rPr>
                <w:rFonts w:hint="eastAsia" w:ascii="仿宋_GB2312" w:hAnsi="仿宋_GB2312" w:eastAsia="仿宋_GB2312" w:cs="仿宋_GB2312"/>
                <w:color w:val="auto"/>
                <w:sz w:val="20"/>
                <w:szCs w:val="20"/>
              </w:rPr>
            </w:pPr>
          </w:p>
        </w:tc>
        <w:tc>
          <w:tcPr>
            <w:tcW w:w="992" w:type="dxa"/>
            <w:vAlign w:val="center"/>
          </w:tcPr>
          <w:p>
            <w:pPr>
              <w:numPr>
                <w:ilvl w:val="0"/>
                <w:numId w:val="4"/>
              </w:numPr>
              <w:spacing w:line="240" w:lineRule="exact"/>
              <w:ind w:left="425" w:leftChars="0" w:hanging="425" w:firstLineChars="0"/>
              <w:rPr>
                <w:rFonts w:hint="eastAsia" w:ascii="仿宋_GB2312" w:hAnsi="仿宋_GB2312" w:eastAsia="仿宋_GB2312" w:cs="仿宋_GB2312"/>
                <w:color w:val="auto"/>
                <w:sz w:val="20"/>
                <w:szCs w:val="20"/>
              </w:rPr>
            </w:pPr>
          </w:p>
        </w:tc>
        <w:tc>
          <w:tcPr>
            <w:tcW w:w="1010" w:type="dxa"/>
            <w:vAlign w:val="center"/>
          </w:tcPr>
          <w:p>
            <w:pPr>
              <w:spacing w:line="240" w:lineRule="exact"/>
              <w:rPr>
                <w:rFonts w:hint="eastAsia" w:ascii="仿宋_GB2312" w:hAnsi="仿宋_GB2312" w:eastAsia="仿宋_GB2312" w:cs="仿宋_GB2312"/>
                <w:color w:val="auto"/>
                <w:sz w:val="20"/>
                <w:szCs w:val="20"/>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55" w:hRule="atLeast"/>
          <w:jc w:val="center"/>
        </w:trPr>
        <w:tc>
          <w:tcPr>
            <w:tcW w:w="758" w:type="dxa"/>
            <w:vAlign w:val="center"/>
          </w:tcPr>
          <w:p>
            <w:pPr>
              <w:numPr>
                <w:ilvl w:val="0"/>
                <w:numId w:val="1"/>
              </w:numPr>
              <w:spacing w:line="240" w:lineRule="exact"/>
              <w:ind w:left="425" w:leftChars="0" w:hanging="425" w:firstLineChars="0"/>
              <w:jc w:val="center"/>
              <w:rPr>
                <w:rFonts w:hint="eastAsia" w:ascii="仿宋_GB2312" w:hAnsi="仿宋_GB2312" w:eastAsia="仿宋_GB2312" w:cs="仿宋_GB2312"/>
                <w:color w:val="auto"/>
                <w:sz w:val="20"/>
                <w:szCs w:val="20"/>
                <w:lang w:val="en-US" w:eastAsia="zh-CN"/>
              </w:rPr>
            </w:pPr>
          </w:p>
        </w:tc>
        <w:tc>
          <w:tcPr>
            <w:tcW w:w="3108" w:type="dx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0"/>
                <w:szCs w:val="20"/>
                <w:u w:val="none"/>
                <w:lang w:val="en-US" w:eastAsia="zh-CN" w:bidi="ar"/>
              </w:rPr>
            </w:pPr>
            <w:r>
              <w:rPr>
                <w:rFonts w:hint="eastAsia" w:ascii="仿宋_GB2312" w:hAnsi="仿宋_GB2312" w:eastAsia="仿宋_GB2312" w:cs="仿宋_GB2312"/>
                <w:i w:val="0"/>
                <w:iCs w:val="0"/>
                <w:color w:val="auto"/>
                <w:kern w:val="0"/>
                <w:sz w:val="20"/>
                <w:szCs w:val="20"/>
                <w:u w:val="none"/>
                <w:lang w:val="en-US" w:eastAsia="zh-CN" w:bidi="ar"/>
              </w:rPr>
              <w:t>对书面结论文件未签名、盖章的行政处罚</w:t>
            </w:r>
          </w:p>
        </w:tc>
        <w:tc>
          <w:tcPr>
            <w:tcW w:w="1286" w:type="dxa"/>
            <w:vAlign w:val="center"/>
          </w:tcPr>
          <w:p>
            <w:pPr>
              <w:numPr>
                <w:ilvl w:val="0"/>
                <w:numId w:val="2"/>
              </w:numPr>
              <w:spacing w:line="240" w:lineRule="exact"/>
              <w:ind w:left="425" w:leftChars="0" w:hanging="425" w:firstLineChars="0"/>
              <w:rPr>
                <w:rFonts w:hint="eastAsia" w:ascii="仿宋_GB2312" w:hAnsi="仿宋_GB2312" w:eastAsia="仿宋_GB2312" w:cs="仿宋_GB2312"/>
                <w:color w:val="auto"/>
                <w:sz w:val="20"/>
                <w:szCs w:val="20"/>
              </w:rPr>
            </w:pPr>
          </w:p>
        </w:tc>
        <w:tc>
          <w:tcPr>
            <w:tcW w:w="4253" w:type="dxa"/>
            <w:vAlign w:val="center"/>
          </w:tcPr>
          <w:p>
            <w:pPr>
              <w:keepNext w:val="0"/>
              <w:keepLines w:val="0"/>
              <w:widowControl/>
              <w:suppressLineNumbers w:val="0"/>
              <w:jc w:val="left"/>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《社会消防技术服务管理规定》第二十八条第二项 出具的书面结论文件未经技术负责人、项目负责人签名、盖章，或者未加盖消防技术服务机构印章的，责令改正，处1万元以下罚款。</w:t>
            </w:r>
          </w:p>
        </w:tc>
        <w:tc>
          <w:tcPr>
            <w:tcW w:w="2126" w:type="dxa"/>
            <w:vAlign w:val="center"/>
          </w:tcPr>
          <w:p>
            <w:pPr>
              <w:numPr>
                <w:ilvl w:val="0"/>
                <w:numId w:val="3"/>
              </w:numPr>
              <w:spacing w:line="240" w:lineRule="exact"/>
              <w:ind w:left="425" w:leftChars="0" w:hanging="425" w:firstLineChars="0"/>
              <w:rPr>
                <w:rFonts w:hint="eastAsia" w:ascii="仿宋_GB2312" w:hAnsi="仿宋_GB2312" w:eastAsia="仿宋_GB2312" w:cs="仿宋_GB2312"/>
                <w:color w:val="auto"/>
                <w:sz w:val="20"/>
                <w:szCs w:val="20"/>
              </w:rPr>
            </w:pPr>
          </w:p>
        </w:tc>
        <w:tc>
          <w:tcPr>
            <w:tcW w:w="992" w:type="dxa"/>
            <w:vAlign w:val="center"/>
          </w:tcPr>
          <w:p>
            <w:pPr>
              <w:numPr>
                <w:ilvl w:val="0"/>
                <w:numId w:val="4"/>
              </w:numPr>
              <w:spacing w:line="240" w:lineRule="exact"/>
              <w:ind w:left="425" w:leftChars="0" w:hanging="425" w:firstLineChars="0"/>
              <w:rPr>
                <w:rFonts w:hint="eastAsia" w:ascii="仿宋_GB2312" w:hAnsi="仿宋_GB2312" w:eastAsia="仿宋_GB2312" w:cs="仿宋_GB2312"/>
                <w:color w:val="auto"/>
                <w:sz w:val="20"/>
                <w:szCs w:val="20"/>
              </w:rPr>
            </w:pPr>
          </w:p>
        </w:tc>
        <w:tc>
          <w:tcPr>
            <w:tcW w:w="1010" w:type="dxa"/>
            <w:vAlign w:val="center"/>
          </w:tcPr>
          <w:p>
            <w:pPr>
              <w:spacing w:line="240" w:lineRule="exact"/>
              <w:rPr>
                <w:rFonts w:hint="eastAsia" w:ascii="仿宋_GB2312" w:hAnsi="仿宋_GB2312" w:eastAsia="仿宋_GB2312" w:cs="仿宋_GB2312"/>
                <w:color w:val="auto"/>
                <w:sz w:val="20"/>
                <w:szCs w:val="20"/>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55" w:hRule="atLeast"/>
          <w:jc w:val="center"/>
        </w:trPr>
        <w:tc>
          <w:tcPr>
            <w:tcW w:w="758" w:type="dxa"/>
            <w:vAlign w:val="center"/>
          </w:tcPr>
          <w:p>
            <w:pPr>
              <w:numPr>
                <w:ilvl w:val="0"/>
                <w:numId w:val="1"/>
              </w:numPr>
              <w:spacing w:line="240" w:lineRule="exact"/>
              <w:ind w:left="425" w:leftChars="0" w:hanging="425" w:firstLineChars="0"/>
              <w:jc w:val="center"/>
              <w:rPr>
                <w:rFonts w:hint="eastAsia" w:ascii="仿宋_GB2312" w:hAnsi="仿宋_GB2312" w:eastAsia="仿宋_GB2312" w:cs="仿宋_GB2312"/>
                <w:color w:val="auto"/>
                <w:sz w:val="20"/>
                <w:szCs w:val="20"/>
                <w:lang w:val="en-US" w:eastAsia="zh-CN"/>
              </w:rPr>
            </w:pPr>
          </w:p>
        </w:tc>
        <w:tc>
          <w:tcPr>
            <w:tcW w:w="3108" w:type="dx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0"/>
                <w:szCs w:val="20"/>
                <w:u w:val="none"/>
                <w:lang w:val="en-US" w:eastAsia="zh-CN" w:bidi="ar"/>
              </w:rPr>
            </w:pPr>
            <w:r>
              <w:rPr>
                <w:rFonts w:hint="eastAsia" w:ascii="仿宋_GB2312" w:hAnsi="仿宋_GB2312" w:eastAsia="仿宋_GB2312" w:cs="仿宋_GB2312"/>
                <w:i w:val="0"/>
                <w:iCs w:val="0"/>
                <w:color w:val="auto"/>
                <w:kern w:val="0"/>
                <w:sz w:val="20"/>
                <w:szCs w:val="20"/>
                <w:u w:val="none"/>
                <w:lang w:val="en-US" w:eastAsia="zh-CN" w:bidi="ar"/>
              </w:rPr>
              <w:t>对未依法签订消防技术服务合同的行政处罚</w:t>
            </w:r>
          </w:p>
        </w:tc>
        <w:tc>
          <w:tcPr>
            <w:tcW w:w="1286" w:type="dxa"/>
            <w:vAlign w:val="center"/>
          </w:tcPr>
          <w:p>
            <w:pPr>
              <w:numPr>
                <w:ilvl w:val="0"/>
                <w:numId w:val="2"/>
              </w:numPr>
              <w:spacing w:line="240" w:lineRule="exact"/>
              <w:ind w:left="425" w:leftChars="0" w:hanging="425" w:firstLineChars="0"/>
              <w:rPr>
                <w:rFonts w:hint="eastAsia" w:ascii="仿宋_GB2312" w:hAnsi="仿宋_GB2312" w:eastAsia="仿宋_GB2312" w:cs="仿宋_GB2312"/>
                <w:color w:val="auto"/>
                <w:sz w:val="20"/>
                <w:szCs w:val="20"/>
              </w:rPr>
            </w:pPr>
          </w:p>
        </w:tc>
        <w:tc>
          <w:tcPr>
            <w:tcW w:w="4253" w:type="dxa"/>
            <w:vAlign w:val="center"/>
          </w:tcPr>
          <w:p>
            <w:pPr>
              <w:keepNext w:val="0"/>
              <w:keepLines w:val="0"/>
              <w:widowControl/>
              <w:suppressLineNumbers w:val="0"/>
              <w:jc w:val="left"/>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《社会消防技术服务管理规定》第二十八条第三项 承接业务未依法与委托人签订消防技术服务合同的，责令改正，处1万元以下罚款。</w:t>
            </w:r>
          </w:p>
        </w:tc>
        <w:tc>
          <w:tcPr>
            <w:tcW w:w="2126" w:type="dxa"/>
            <w:vAlign w:val="center"/>
          </w:tcPr>
          <w:p>
            <w:pPr>
              <w:numPr>
                <w:ilvl w:val="0"/>
                <w:numId w:val="3"/>
              </w:numPr>
              <w:spacing w:line="240" w:lineRule="exact"/>
              <w:ind w:left="425" w:leftChars="0" w:hanging="425" w:firstLineChars="0"/>
              <w:rPr>
                <w:rFonts w:hint="eastAsia" w:ascii="仿宋_GB2312" w:hAnsi="仿宋_GB2312" w:eastAsia="仿宋_GB2312" w:cs="仿宋_GB2312"/>
                <w:color w:val="auto"/>
                <w:sz w:val="20"/>
                <w:szCs w:val="20"/>
              </w:rPr>
            </w:pPr>
          </w:p>
        </w:tc>
        <w:tc>
          <w:tcPr>
            <w:tcW w:w="992" w:type="dxa"/>
            <w:vAlign w:val="center"/>
          </w:tcPr>
          <w:p>
            <w:pPr>
              <w:numPr>
                <w:ilvl w:val="0"/>
                <w:numId w:val="4"/>
              </w:numPr>
              <w:spacing w:line="240" w:lineRule="exact"/>
              <w:ind w:left="425" w:leftChars="0" w:hanging="425" w:firstLineChars="0"/>
              <w:rPr>
                <w:rFonts w:hint="eastAsia" w:ascii="仿宋_GB2312" w:hAnsi="仿宋_GB2312" w:eastAsia="仿宋_GB2312" w:cs="仿宋_GB2312"/>
                <w:color w:val="auto"/>
                <w:sz w:val="20"/>
                <w:szCs w:val="20"/>
              </w:rPr>
            </w:pPr>
          </w:p>
        </w:tc>
        <w:tc>
          <w:tcPr>
            <w:tcW w:w="1010" w:type="dxa"/>
            <w:vAlign w:val="center"/>
          </w:tcPr>
          <w:p>
            <w:pPr>
              <w:spacing w:line="240" w:lineRule="exact"/>
              <w:rPr>
                <w:rFonts w:hint="eastAsia" w:ascii="仿宋_GB2312" w:hAnsi="仿宋_GB2312" w:eastAsia="仿宋_GB2312" w:cs="仿宋_GB2312"/>
                <w:color w:val="auto"/>
                <w:sz w:val="20"/>
                <w:szCs w:val="20"/>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55" w:hRule="atLeast"/>
          <w:jc w:val="center"/>
        </w:trPr>
        <w:tc>
          <w:tcPr>
            <w:tcW w:w="758" w:type="dxa"/>
            <w:vAlign w:val="center"/>
          </w:tcPr>
          <w:p>
            <w:pPr>
              <w:numPr>
                <w:ilvl w:val="0"/>
                <w:numId w:val="1"/>
              </w:numPr>
              <w:spacing w:line="240" w:lineRule="exact"/>
              <w:ind w:left="425" w:leftChars="0" w:hanging="425" w:firstLineChars="0"/>
              <w:jc w:val="center"/>
              <w:rPr>
                <w:rFonts w:hint="eastAsia" w:ascii="仿宋_GB2312" w:hAnsi="仿宋_GB2312" w:eastAsia="仿宋_GB2312" w:cs="仿宋_GB2312"/>
                <w:color w:val="auto"/>
                <w:sz w:val="20"/>
                <w:szCs w:val="20"/>
                <w:lang w:val="en-US" w:eastAsia="zh-CN"/>
              </w:rPr>
            </w:pPr>
          </w:p>
        </w:tc>
        <w:tc>
          <w:tcPr>
            <w:tcW w:w="3108" w:type="dx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0"/>
                <w:szCs w:val="20"/>
                <w:u w:val="none"/>
                <w:lang w:val="en-US" w:eastAsia="zh-CN" w:bidi="ar"/>
              </w:rPr>
            </w:pPr>
            <w:r>
              <w:rPr>
                <w:rFonts w:hint="eastAsia" w:ascii="仿宋_GB2312" w:hAnsi="仿宋_GB2312" w:eastAsia="仿宋_GB2312" w:cs="仿宋_GB2312"/>
                <w:i w:val="0"/>
                <w:iCs w:val="0"/>
                <w:color w:val="auto"/>
                <w:kern w:val="0"/>
                <w:sz w:val="20"/>
                <w:szCs w:val="20"/>
                <w:u w:val="none"/>
                <w:lang w:val="en-US" w:eastAsia="zh-CN" w:bidi="ar"/>
              </w:rPr>
              <w:t>对项目负责人或者消防设施操作员未到现场实地开展工作的行政处罚</w:t>
            </w:r>
          </w:p>
        </w:tc>
        <w:tc>
          <w:tcPr>
            <w:tcW w:w="1286" w:type="dxa"/>
            <w:vAlign w:val="center"/>
          </w:tcPr>
          <w:p>
            <w:pPr>
              <w:numPr>
                <w:ilvl w:val="0"/>
                <w:numId w:val="2"/>
              </w:numPr>
              <w:spacing w:line="240" w:lineRule="exact"/>
              <w:ind w:left="425" w:leftChars="0" w:hanging="425" w:firstLineChars="0"/>
              <w:rPr>
                <w:rFonts w:hint="eastAsia" w:ascii="仿宋_GB2312" w:hAnsi="仿宋_GB2312" w:eastAsia="仿宋_GB2312" w:cs="仿宋_GB2312"/>
                <w:color w:val="auto"/>
                <w:sz w:val="20"/>
                <w:szCs w:val="20"/>
              </w:rPr>
            </w:pPr>
          </w:p>
        </w:tc>
        <w:tc>
          <w:tcPr>
            <w:tcW w:w="4253" w:type="dxa"/>
            <w:vAlign w:val="center"/>
          </w:tcPr>
          <w:p>
            <w:pPr>
              <w:keepNext w:val="0"/>
              <w:keepLines w:val="0"/>
              <w:widowControl/>
              <w:suppressLineNumbers w:val="0"/>
              <w:jc w:val="left"/>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《社会消防技术服务管理规定》第二十八条第四项 消防设施维护保养检测机构的项目负责人或者消防设施操作员未到现场实地开展工作的，责令改正，处1万元以下罚款。</w:t>
            </w:r>
          </w:p>
        </w:tc>
        <w:tc>
          <w:tcPr>
            <w:tcW w:w="2126" w:type="dxa"/>
            <w:vAlign w:val="center"/>
          </w:tcPr>
          <w:p>
            <w:pPr>
              <w:numPr>
                <w:ilvl w:val="0"/>
                <w:numId w:val="3"/>
              </w:numPr>
              <w:spacing w:line="240" w:lineRule="exact"/>
              <w:ind w:left="425" w:leftChars="0" w:hanging="425" w:firstLineChars="0"/>
              <w:rPr>
                <w:rFonts w:hint="eastAsia" w:ascii="仿宋_GB2312" w:hAnsi="仿宋_GB2312" w:eastAsia="仿宋_GB2312" w:cs="仿宋_GB2312"/>
                <w:color w:val="auto"/>
                <w:sz w:val="20"/>
                <w:szCs w:val="20"/>
              </w:rPr>
            </w:pPr>
          </w:p>
        </w:tc>
        <w:tc>
          <w:tcPr>
            <w:tcW w:w="992" w:type="dxa"/>
            <w:vAlign w:val="center"/>
          </w:tcPr>
          <w:p>
            <w:pPr>
              <w:numPr>
                <w:ilvl w:val="0"/>
                <w:numId w:val="4"/>
              </w:numPr>
              <w:spacing w:line="240" w:lineRule="exact"/>
              <w:ind w:left="425" w:leftChars="0" w:hanging="425" w:firstLineChars="0"/>
              <w:rPr>
                <w:rFonts w:hint="eastAsia" w:ascii="仿宋_GB2312" w:hAnsi="仿宋_GB2312" w:eastAsia="仿宋_GB2312" w:cs="仿宋_GB2312"/>
                <w:color w:val="auto"/>
                <w:sz w:val="20"/>
                <w:szCs w:val="20"/>
              </w:rPr>
            </w:pPr>
          </w:p>
        </w:tc>
        <w:tc>
          <w:tcPr>
            <w:tcW w:w="1010" w:type="dxa"/>
            <w:vAlign w:val="center"/>
          </w:tcPr>
          <w:p>
            <w:pPr>
              <w:spacing w:line="240" w:lineRule="exact"/>
              <w:rPr>
                <w:rFonts w:hint="eastAsia" w:ascii="仿宋_GB2312" w:hAnsi="仿宋_GB2312" w:eastAsia="仿宋_GB2312" w:cs="仿宋_GB2312"/>
                <w:color w:val="auto"/>
                <w:sz w:val="20"/>
                <w:szCs w:val="20"/>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55" w:hRule="atLeast"/>
          <w:jc w:val="center"/>
        </w:trPr>
        <w:tc>
          <w:tcPr>
            <w:tcW w:w="758" w:type="dxa"/>
            <w:vAlign w:val="center"/>
          </w:tcPr>
          <w:p>
            <w:pPr>
              <w:numPr>
                <w:ilvl w:val="0"/>
                <w:numId w:val="1"/>
              </w:numPr>
              <w:spacing w:line="240" w:lineRule="exact"/>
              <w:ind w:left="425" w:leftChars="0" w:hanging="425" w:firstLineChars="0"/>
              <w:jc w:val="center"/>
              <w:rPr>
                <w:rFonts w:hint="eastAsia" w:ascii="仿宋_GB2312" w:hAnsi="仿宋_GB2312" w:eastAsia="仿宋_GB2312" w:cs="仿宋_GB2312"/>
                <w:color w:val="auto"/>
                <w:sz w:val="20"/>
                <w:szCs w:val="20"/>
                <w:lang w:val="en-US" w:eastAsia="zh-CN"/>
              </w:rPr>
            </w:pPr>
          </w:p>
        </w:tc>
        <w:tc>
          <w:tcPr>
            <w:tcW w:w="3108" w:type="dx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0"/>
                <w:szCs w:val="20"/>
                <w:u w:val="none"/>
                <w:lang w:val="en-US" w:eastAsia="zh-CN" w:bidi="ar"/>
              </w:rPr>
            </w:pPr>
            <w:r>
              <w:rPr>
                <w:rFonts w:hint="eastAsia" w:ascii="仿宋_GB2312" w:hAnsi="仿宋_GB2312" w:eastAsia="仿宋_GB2312" w:cs="仿宋_GB2312"/>
                <w:i w:val="0"/>
                <w:iCs w:val="0"/>
                <w:color w:val="auto"/>
                <w:kern w:val="0"/>
                <w:sz w:val="20"/>
                <w:szCs w:val="20"/>
                <w:u w:val="none"/>
                <w:lang w:val="en-US" w:eastAsia="zh-CN" w:bidi="ar"/>
              </w:rPr>
              <w:t>对未建立、保管消防技术服务档案的行政处罚</w:t>
            </w:r>
          </w:p>
        </w:tc>
        <w:tc>
          <w:tcPr>
            <w:tcW w:w="1286" w:type="dxa"/>
            <w:vAlign w:val="center"/>
          </w:tcPr>
          <w:p>
            <w:pPr>
              <w:numPr>
                <w:ilvl w:val="0"/>
                <w:numId w:val="2"/>
              </w:numPr>
              <w:spacing w:line="240" w:lineRule="exact"/>
              <w:ind w:left="425" w:leftChars="0" w:hanging="425" w:firstLineChars="0"/>
              <w:rPr>
                <w:rFonts w:hint="eastAsia" w:ascii="仿宋_GB2312" w:hAnsi="仿宋_GB2312" w:eastAsia="仿宋_GB2312" w:cs="仿宋_GB2312"/>
                <w:color w:val="auto"/>
                <w:sz w:val="20"/>
                <w:szCs w:val="20"/>
              </w:rPr>
            </w:pPr>
          </w:p>
        </w:tc>
        <w:tc>
          <w:tcPr>
            <w:tcW w:w="4253" w:type="dxa"/>
            <w:vAlign w:val="center"/>
          </w:tcPr>
          <w:p>
            <w:pPr>
              <w:keepNext w:val="0"/>
              <w:keepLines w:val="0"/>
              <w:widowControl/>
              <w:suppressLineNumbers w:val="0"/>
              <w:jc w:val="left"/>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《社会消防技术服务管理规定》第二十八条第五项 未建立或者保管消防技术服务档案的，责令改正，处1万元以下罚款。</w:t>
            </w:r>
          </w:p>
        </w:tc>
        <w:tc>
          <w:tcPr>
            <w:tcW w:w="2126" w:type="dxa"/>
            <w:vAlign w:val="center"/>
          </w:tcPr>
          <w:p>
            <w:pPr>
              <w:numPr>
                <w:ilvl w:val="0"/>
                <w:numId w:val="3"/>
              </w:numPr>
              <w:spacing w:line="240" w:lineRule="exact"/>
              <w:ind w:left="425" w:leftChars="0" w:hanging="425" w:firstLineChars="0"/>
              <w:rPr>
                <w:rFonts w:hint="eastAsia" w:ascii="仿宋_GB2312" w:hAnsi="仿宋_GB2312" w:eastAsia="仿宋_GB2312" w:cs="仿宋_GB2312"/>
                <w:color w:val="auto"/>
                <w:sz w:val="20"/>
                <w:szCs w:val="20"/>
              </w:rPr>
            </w:pPr>
          </w:p>
        </w:tc>
        <w:tc>
          <w:tcPr>
            <w:tcW w:w="992" w:type="dxa"/>
            <w:vAlign w:val="center"/>
          </w:tcPr>
          <w:p>
            <w:pPr>
              <w:numPr>
                <w:ilvl w:val="0"/>
                <w:numId w:val="4"/>
              </w:numPr>
              <w:spacing w:line="240" w:lineRule="exact"/>
              <w:ind w:left="425" w:leftChars="0" w:hanging="425" w:firstLineChars="0"/>
              <w:rPr>
                <w:rFonts w:hint="eastAsia" w:ascii="仿宋_GB2312" w:hAnsi="仿宋_GB2312" w:eastAsia="仿宋_GB2312" w:cs="仿宋_GB2312"/>
                <w:color w:val="auto"/>
                <w:sz w:val="20"/>
                <w:szCs w:val="20"/>
              </w:rPr>
            </w:pPr>
          </w:p>
        </w:tc>
        <w:tc>
          <w:tcPr>
            <w:tcW w:w="1010" w:type="dxa"/>
            <w:vAlign w:val="center"/>
          </w:tcPr>
          <w:p>
            <w:pPr>
              <w:spacing w:line="240" w:lineRule="exact"/>
              <w:rPr>
                <w:rFonts w:hint="eastAsia" w:ascii="仿宋_GB2312" w:hAnsi="仿宋_GB2312" w:eastAsia="仿宋_GB2312" w:cs="仿宋_GB2312"/>
                <w:color w:val="auto"/>
                <w:sz w:val="20"/>
                <w:szCs w:val="20"/>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55" w:hRule="atLeast"/>
          <w:jc w:val="center"/>
        </w:trPr>
        <w:tc>
          <w:tcPr>
            <w:tcW w:w="758" w:type="dxa"/>
            <w:vAlign w:val="center"/>
          </w:tcPr>
          <w:p>
            <w:pPr>
              <w:numPr>
                <w:ilvl w:val="0"/>
                <w:numId w:val="1"/>
              </w:numPr>
              <w:spacing w:line="240" w:lineRule="exact"/>
              <w:ind w:left="425" w:leftChars="0" w:hanging="425" w:firstLineChars="0"/>
              <w:jc w:val="center"/>
              <w:rPr>
                <w:rFonts w:hint="eastAsia" w:ascii="仿宋_GB2312" w:hAnsi="仿宋_GB2312" w:eastAsia="仿宋_GB2312" w:cs="仿宋_GB2312"/>
                <w:color w:val="auto"/>
                <w:sz w:val="20"/>
                <w:szCs w:val="20"/>
                <w:lang w:val="en-US" w:eastAsia="zh-CN"/>
              </w:rPr>
            </w:pPr>
          </w:p>
        </w:tc>
        <w:tc>
          <w:tcPr>
            <w:tcW w:w="3108" w:type="dx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0"/>
                <w:szCs w:val="20"/>
                <w:u w:val="none"/>
                <w:lang w:val="en-US" w:eastAsia="zh-CN" w:bidi="ar"/>
              </w:rPr>
            </w:pPr>
            <w:r>
              <w:rPr>
                <w:rFonts w:hint="eastAsia" w:ascii="仿宋_GB2312" w:hAnsi="仿宋_GB2312" w:eastAsia="仿宋_GB2312" w:cs="仿宋_GB2312"/>
                <w:i w:val="0"/>
                <w:iCs w:val="0"/>
                <w:color w:val="auto"/>
                <w:kern w:val="0"/>
                <w:sz w:val="20"/>
                <w:szCs w:val="20"/>
                <w:u w:val="none"/>
                <w:lang w:val="en-US" w:eastAsia="zh-CN" w:bidi="ar"/>
              </w:rPr>
              <w:t>对未公示营业执照、注册消防工程师注册证书等事项的行政处罚</w:t>
            </w:r>
          </w:p>
        </w:tc>
        <w:tc>
          <w:tcPr>
            <w:tcW w:w="1286" w:type="dxa"/>
            <w:vAlign w:val="center"/>
          </w:tcPr>
          <w:p>
            <w:pPr>
              <w:numPr>
                <w:ilvl w:val="0"/>
                <w:numId w:val="2"/>
              </w:numPr>
              <w:spacing w:line="240" w:lineRule="exact"/>
              <w:ind w:left="425" w:leftChars="0" w:hanging="425" w:firstLineChars="0"/>
              <w:rPr>
                <w:rFonts w:hint="eastAsia" w:ascii="仿宋_GB2312" w:hAnsi="仿宋_GB2312" w:eastAsia="仿宋_GB2312" w:cs="仿宋_GB2312"/>
                <w:color w:val="auto"/>
                <w:sz w:val="20"/>
                <w:szCs w:val="20"/>
              </w:rPr>
            </w:pPr>
          </w:p>
        </w:tc>
        <w:tc>
          <w:tcPr>
            <w:tcW w:w="4253" w:type="dxa"/>
            <w:vAlign w:val="center"/>
          </w:tcPr>
          <w:p>
            <w:pPr>
              <w:keepNext w:val="0"/>
              <w:keepLines w:val="0"/>
              <w:widowControl/>
              <w:suppressLineNumbers w:val="0"/>
              <w:jc w:val="left"/>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《社会消防技术服务管理规定》第二十八条第六项 未公示营业执照、工作程序、收费标准、从业守则、注册消防工程师注册证书、投诉电话等事项的，责令改正，处1万元以下罚款。</w:t>
            </w:r>
          </w:p>
        </w:tc>
        <w:tc>
          <w:tcPr>
            <w:tcW w:w="2126" w:type="dxa"/>
            <w:vAlign w:val="center"/>
          </w:tcPr>
          <w:p>
            <w:pPr>
              <w:numPr>
                <w:ilvl w:val="0"/>
                <w:numId w:val="3"/>
              </w:numPr>
              <w:spacing w:line="240" w:lineRule="exact"/>
              <w:ind w:left="425" w:leftChars="0" w:hanging="425" w:firstLineChars="0"/>
              <w:rPr>
                <w:rFonts w:hint="eastAsia" w:ascii="仿宋_GB2312" w:hAnsi="仿宋_GB2312" w:eastAsia="仿宋_GB2312" w:cs="仿宋_GB2312"/>
                <w:color w:val="auto"/>
                <w:sz w:val="20"/>
                <w:szCs w:val="20"/>
              </w:rPr>
            </w:pPr>
          </w:p>
        </w:tc>
        <w:tc>
          <w:tcPr>
            <w:tcW w:w="992" w:type="dxa"/>
            <w:vAlign w:val="center"/>
          </w:tcPr>
          <w:p>
            <w:pPr>
              <w:numPr>
                <w:ilvl w:val="0"/>
                <w:numId w:val="4"/>
              </w:numPr>
              <w:spacing w:line="240" w:lineRule="exact"/>
              <w:ind w:left="425" w:leftChars="0" w:hanging="425" w:firstLineChars="0"/>
              <w:rPr>
                <w:rFonts w:hint="eastAsia" w:ascii="仿宋_GB2312" w:hAnsi="仿宋_GB2312" w:eastAsia="仿宋_GB2312" w:cs="仿宋_GB2312"/>
                <w:color w:val="auto"/>
                <w:sz w:val="20"/>
                <w:szCs w:val="20"/>
              </w:rPr>
            </w:pPr>
          </w:p>
        </w:tc>
        <w:tc>
          <w:tcPr>
            <w:tcW w:w="1010" w:type="dxa"/>
            <w:vAlign w:val="center"/>
          </w:tcPr>
          <w:p>
            <w:pPr>
              <w:spacing w:line="240" w:lineRule="exact"/>
              <w:rPr>
                <w:rFonts w:hint="eastAsia" w:ascii="仿宋_GB2312" w:hAnsi="仿宋_GB2312" w:eastAsia="仿宋_GB2312" w:cs="仿宋_GB2312"/>
                <w:color w:val="auto"/>
                <w:sz w:val="20"/>
                <w:szCs w:val="20"/>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55" w:hRule="atLeast"/>
          <w:jc w:val="center"/>
        </w:trPr>
        <w:tc>
          <w:tcPr>
            <w:tcW w:w="758" w:type="dxa"/>
            <w:vAlign w:val="center"/>
          </w:tcPr>
          <w:p>
            <w:pPr>
              <w:numPr>
                <w:ilvl w:val="0"/>
                <w:numId w:val="1"/>
              </w:numPr>
              <w:spacing w:line="240" w:lineRule="exact"/>
              <w:ind w:left="425" w:leftChars="0" w:hanging="425" w:firstLineChars="0"/>
              <w:jc w:val="center"/>
              <w:rPr>
                <w:rFonts w:hint="eastAsia" w:ascii="仿宋_GB2312" w:hAnsi="仿宋_GB2312" w:eastAsia="仿宋_GB2312" w:cs="仿宋_GB2312"/>
                <w:color w:val="auto"/>
                <w:sz w:val="20"/>
                <w:szCs w:val="20"/>
                <w:lang w:val="en-US" w:eastAsia="zh-CN"/>
              </w:rPr>
            </w:pPr>
          </w:p>
        </w:tc>
        <w:tc>
          <w:tcPr>
            <w:tcW w:w="3108" w:type="dx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0"/>
                <w:szCs w:val="20"/>
                <w:u w:val="none"/>
                <w:lang w:val="en-US" w:eastAsia="zh-CN" w:bidi="ar"/>
              </w:rPr>
            </w:pPr>
            <w:r>
              <w:rPr>
                <w:rFonts w:hint="eastAsia" w:ascii="仿宋_GB2312" w:hAnsi="仿宋_GB2312" w:eastAsia="仿宋_GB2312" w:cs="仿宋_GB2312"/>
                <w:i w:val="0"/>
                <w:iCs w:val="0"/>
                <w:color w:val="auto"/>
                <w:kern w:val="0"/>
                <w:sz w:val="20"/>
                <w:szCs w:val="20"/>
                <w:u w:val="none"/>
                <w:lang w:val="en-US" w:eastAsia="zh-CN" w:bidi="ar"/>
              </w:rPr>
              <w:t>对未依法公示消防技术服务信息的行政处罚</w:t>
            </w:r>
          </w:p>
        </w:tc>
        <w:tc>
          <w:tcPr>
            <w:tcW w:w="1286" w:type="dxa"/>
            <w:vAlign w:val="center"/>
          </w:tcPr>
          <w:p>
            <w:pPr>
              <w:numPr>
                <w:ilvl w:val="0"/>
                <w:numId w:val="2"/>
              </w:numPr>
              <w:spacing w:line="240" w:lineRule="exact"/>
              <w:ind w:left="425" w:leftChars="0" w:hanging="425" w:firstLineChars="0"/>
              <w:rPr>
                <w:rFonts w:hint="eastAsia" w:ascii="仿宋_GB2312" w:hAnsi="仿宋_GB2312" w:eastAsia="仿宋_GB2312" w:cs="仿宋_GB2312"/>
                <w:color w:val="auto"/>
                <w:sz w:val="20"/>
                <w:szCs w:val="20"/>
              </w:rPr>
            </w:pPr>
          </w:p>
        </w:tc>
        <w:tc>
          <w:tcPr>
            <w:tcW w:w="4253" w:type="dxa"/>
            <w:vAlign w:val="center"/>
          </w:tcPr>
          <w:p>
            <w:pPr>
              <w:keepNext w:val="0"/>
              <w:keepLines w:val="0"/>
              <w:widowControl/>
              <w:suppressLineNumbers w:val="0"/>
              <w:jc w:val="left"/>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《社会消防技术服务管理规定》第三十条 消防设施维护保养检测机构未按照本规定要求在经其维护保养的消防设施所在建筑的醒目位置上公示消防技术服务信息的，责令改正，处5000元以下罚款。</w:t>
            </w:r>
          </w:p>
        </w:tc>
        <w:tc>
          <w:tcPr>
            <w:tcW w:w="2126" w:type="dxa"/>
            <w:vAlign w:val="center"/>
          </w:tcPr>
          <w:p>
            <w:pPr>
              <w:numPr>
                <w:ilvl w:val="0"/>
                <w:numId w:val="3"/>
              </w:numPr>
              <w:spacing w:line="240" w:lineRule="exact"/>
              <w:ind w:left="425" w:leftChars="0" w:hanging="425" w:firstLineChars="0"/>
              <w:rPr>
                <w:rFonts w:hint="eastAsia" w:ascii="仿宋_GB2312" w:hAnsi="仿宋_GB2312" w:eastAsia="仿宋_GB2312" w:cs="仿宋_GB2312"/>
                <w:color w:val="auto"/>
                <w:sz w:val="20"/>
                <w:szCs w:val="20"/>
              </w:rPr>
            </w:pPr>
          </w:p>
        </w:tc>
        <w:tc>
          <w:tcPr>
            <w:tcW w:w="992" w:type="dxa"/>
            <w:vAlign w:val="center"/>
          </w:tcPr>
          <w:p>
            <w:pPr>
              <w:numPr>
                <w:ilvl w:val="0"/>
                <w:numId w:val="4"/>
              </w:numPr>
              <w:spacing w:line="240" w:lineRule="exact"/>
              <w:ind w:left="425" w:leftChars="0" w:hanging="425" w:firstLineChars="0"/>
              <w:rPr>
                <w:rFonts w:hint="eastAsia" w:ascii="仿宋_GB2312" w:hAnsi="仿宋_GB2312" w:eastAsia="仿宋_GB2312" w:cs="仿宋_GB2312"/>
                <w:color w:val="auto"/>
                <w:sz w:val="20"/>
                <w:szCs w:val="20"/>
              </w:rPr>
            </w:pPr>
          </w:p>
        </w:tc>
        <w:tc>
          <w:tcPr>
            <w:tcW w:w="1010" w:type="dxa"/>
            <w:vAlign w:val="center"/>
          </w:tcPr>
          <w:p>
            <w:pPr>
              <w:spacing w:line="240" w:lineRule="exact"/>
              <w:rPr>
                <w:rFonts w:hint="eastAsia" w:ascii="仿宋_GB2312" w:hAnsi="仿宋_GB2312" w:eastAsia="仿宋_GB2312" w:cs="仿宋_GB2312"/>
                <w:color w:val="auto"/>
                <w:sz w:val="20"/>
                <w:szCs w:val="20"/>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55" w:hRule="atLeast"/>
          <w:jc w:val="center"/>
        </w:trPr>
        <w:tc>
          <w:tcPr>
            <w:tcW w:w="758" w:type="dxa"/>
            <w:vAlign w:val="center"/>
          </w:tcPr>
          <w:p>
            <w:pPr>
              <w:numPr>
                <w:ilvl w:val="0"/>
                <w:numId w:val="1"/>
              </w:numPr>
              <w:spacing w:line="240" w:lineRule="exact"/>
              <w:ind w:left="425" w:leftChars="0" w:hanging="425" w:firstLineChars="0"/>
              <w:jc w:val="center"/>
              <w:rPr>
                <w:rFonts w:hint="eastAsia" w:ascii="仿宋_GB2312" w:hAnsi="仿宋_GB2312" w:eastAsia="仿宋_GB2312" w:cs="仿宋_GB2312"/>
                <w:color w:val="auto"/>
                <w:sz w:val="20"/>
                <w:szCs w:val="20"/>
                <w:lang w:val="en-US" w:eastAsia="zh-CN"/>
              </w:rPr>
            </w:pPr>
          </w:p>
        </w:tc>
        <w:tc>
          <w:tcPr>
            <w:tcW w:w="3108" w:type="dx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0"/>
                <w:szCs w:val="20"/>
                <w:u w:val="none"/>
                <w:lang w:val="en-US" w:eastAsia="zh-CN" w:bidi="ar"/>
              </w:rPr>
            </w:pPr>
            <w:r>
              <w:rPr>
                <w:rFonts w:hint="eastAsia" w:ascii="仿宋_GB2312" w:hAnsi="仿宋_GB2312" w:eastAsia="仿宋_GB2312" w:cs="仿宋_GB2312"/>
                <w:i w:val="0"/>
                <w:iCs w:val="0"/>
                <w:color w:val="auto"/>
                <w:kern w:val="0"/>
                <w:sz w:val="20"/>
                <w:szCs w:val="20"/>
                <w:u w:val="none"/>
                <w:lang w:val="en-US" w:eastAsia="zh-CN" w:bidi="ar"/>
              </w:rPr>
              <w:t>对聘用单位为申请人提供虚假注册申请材料的行政处罚</w:t>
            </w:r>
          </w:p>
        </w:tc>
        <w:tc>
          <w:tcPr>
            <w:tcW w:w="1286" w:type="dxa"/>
            <w:vAlign w:val="center"/>
          </w:tcPr>
          <w:p>
            <w:pPr>
              <w:numPr>
                <w:ilvl w:val="0"/>
                <w:numId w:val="2"/>
              </w:numPr>
              <w:spacing w:line="240" w:lineRule="exact"/>
              <w:ind w:left="425" w:leftChars="0" w:hanging="425" w:firstLineChars="0"/>
              <w:rPr>
                <w:rFonts w:hint="eastAsia" w:ascii="仿宋_GB2312" w:hAnsi="仿宋_GB2312" w:eastAsia="仿宋_GB2312" w:cs="仿宋_GB2312"/>
                <w:color w:val="auto"/>
                <w:sz w:val="20"/>
                <w:szCs w:val="20"/>
              </w:rPr>
            </w:pPr>
          </w:p>
        </w:tc>
        <w:tc>
          <w:tcPr>
            <w:tcW w:w="4253" w:type="dxa"/>
            <w:vAlign w:val="center"/>
          </w:tcPr>
          <w:p>
            <w:pPr>
              <w:keepNext w:val="0"/>
              <w:keepLines w:val="0"/>
              <w:widowControl/>
              <w:suppressLineNumbers w:val="0"/>
              <w:jc w:val="left"/>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《注册消防工程师管理规定》第四十九条（对单位） 隐瞒有关情况或者提供虚假材料申请注册的，公安机关消防机构不予受理或者不予许可，申请人在一年内不得再次申请注册；聘用单位为申请人提供虚假注册申请材料的，同时对聘用单位处一万元以上三万元以下罚款。</w:t>
            </w:r>
          </w:p>
        </w:tc>
        <w:tc>
          <w:tcPr>
            <w:tcW w:w="2126" w:type="dxa"/>
            <w:vAlign w:val="center"/>
          </w:tcPr>
          <w:p>
            <w:pPr>
              <w:numPr>
                <w:ilvl w:val="0"/>
                <w:numId w:val="3"/>
              </w:numPr>
              <w:spacing w:line="240" w:lineRule="exact"/>
              <w:ind w:left="425" w:leftChars="0" w:hanging="425" w:firstLineChars="0"/>
              <w:rPr>
                <w:rFonts w:hint="eastAsia" w:ascii="仿宋_GB2312" w:hAnsi="仿宋_GB2312" w:eastAsia="仿宋_GB2312" w:cs="仿宋_GB2312"/>
                <w:color w:val="auto"/>
                <w:sz w:val="20"/>
                <w:szCs w:val="20"/>
              </w:rPr>
            </w:pPr>
          </w:p>
        </w:tc>
        <w:tc>
          <w:tcPr>
            <w:tcW w:w="992" w:type="dxa"/>
            <w:vAlign w:val="center"/>
          </w:tcPr>
          <w:p>
            <w:pPr>
              <w:numPr>
                <w:ilvl w:val="0"/>
                <w:numId w:val="4"/>
              </w:numPr>
              <w:spacing w:line="240" w:lineRule="exact"/>
              <w:ind w:left="425" w:leftChars="0" w:hanging="425" w:firstLineChars="0"/>
              <w:rPr>
                <w:rFonts w:hint="eastAsia" w:ascii="仿宋_GB2312" w:hAnsi="仿宋_GB2312" w:eastAsia="仿宋_GB2312" w:cs="仿宋_GB2312"/>
                <w:color w:val="auto"/>
                <w:sz w:val="20"/>
                <w:szCs w:val="20"/>
              </w:rPr>
            </w:pPr>
          </w:p>
        </w:tc>
        <w:tc>
          <w:tcPr>
            <w:tcW w:w="1010" w:type="dxa"/>
            <w:vAlign w:val="center"/>
          </w:tcPr>
          <w:p>
            <w:pPr>
              <w:spacing w:line="240" w:lineRule="exact"/>
              <w:rPr>
                <w:rFonts w:hint="eastAsia" w:ascii="仿宋_GB2312" w:hAnsi="仿宋_GB2312" w:eastAsia="仿宋_GB2312" w:cs="仿宋_GB2312"/>
                <w:color w:val="auto"/>
                <w:sz w:val="20"/>
                <w:szCs w:val="20"/>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55" w:hRule="atLeast"/>
          <w:jc w:val="center"/>
        </w:trPr>
        <w:tc>
          <w:tcPr>
            <w:tcW w:w="758" w:type="dxa"/>
            <w:vAlign w:val="center"/>
          </w:tcPr>
          <w:p>
            <w:pPr>
              <w:numPr>
                <w:ilvl w:val="0"/>
                <w:numId w:val="1"/>
              </w:numPr>
              <w:spacing w:line="240" w:lineRule="exact"/>
              <w:ind w:left="425" w:leftChars="0" w:hanging="425" w:firstLineChars="0"/>
              <w:jc w:val="center"/>
              <w:rPr>
                <w:rFonts w:hint="eastAsia" w:ascii="仿宋_GB2312" w:hAnsi="仿宋_GB2312" w:eastAsia="仿宋_GB2312" w:cs="仿宋_GB2312"/>
                <w:color w:val="auto"/>
                <w:sz w:val="20"/>
                <w:szCs w:val="20"/>
                <w:lang w:val="en-US" w:eastAsia="zh-CN"/>
              </w:rPr>
            </w:pPr>
          </w:p>
        </w:tc>
        <w:tc>
          <w:tcPr>
            <w:tcW w:w="3108" w:type="dx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0"/>
                <w:szCs w:val="20"/>
                <w:u w:val="none"/>
                <w:lang w:val="en-US" w:eastAsia="zh-CN" w:bidi="ar"/>
              </w:rPr>
            </w:pPr>
            <w:r>
              <w:rPr>
                <w:rFonts w:hint="eastAsia" w:ascii="仿宋_GB2312" w:hAnsi="仿宋_GB2312" w:eastAsia="仿宋_GB2312" w:cs="仿宋_GB2312"/>
                <w:i w:val="0"/>
                <w:iCs w:val="0"/>
                <w:color w:val="auto"/>
                <w:kern w:val="0"/>
                <w:sz w:val="20"/>
                <w:szCs w:val="20"/>
                <w:u w:val="none"/>
                <w:lang w:val="en-US" w:eastAsia="zh-CN" w:bidi="ar"/>
              </w:rPr>
              <w:t>对注册消防工程师以不正当手段取得资格注册的行政处罚</w:t>
            </w:r>
          </w:p>
        </w:tc>
        <w:tc>
          <w:tcPr>
            <w:tcW w:w="1286" w:type="dxa"/>
            <w:vAlign w:val="center"/>
          </w:tcPr>
          <w:p>
            <w:pPr>
              <w:numPr>
                <w:ilvl w:val="0"/>
                <w:numId w:val="2"/>
              </w:numPr>
              <w:spacing w:line="240" w:lineRule="exact"/>
              <w:ind w:left="425" w:leftChars="0" w:hanging="425" w:firstLineChars="0"/>
              <w:rPr>
                <w:rFonts w:hint="eastAsia" w:ascii="仿宋_GB2312" w:hAnsi="仿宋_GB2312" w:eastAsia="仿宋_GB2312" w:cs="仿宋_GB2312"/>
                <w:color w:val="auto"/>
                <w:sz w:val="20"/>
                <w:szCs w:val="20"/>
              </w:rPr>
            </w:pPr>
          </w:p>
        </w:tc>
        <w:tc>
          <w:tcPr>
            <w:tcW w:w="4253" w:type="dxa"/>
            <w:vAlign w:val="center"/>
          </w:tcPr>
          <w:p>
            <w:pPr>
              <w:keepNext w:val="0"/>
              <w:keepLines w:val="0"/>
              <w:widowControl/>
              <w:suppressLineNumbers w:val="0"/>
              <w:jc w:val="left"/>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《注册消防工程师管理规定》第五十条 申请人以欺骗、贿赂等不正当手段取得注册消防工程师资格注册的，原注册审批部门应当撤销其注册，并处一万元以下罚款；申请人在三年内不得再次申请注册。</w:t>
            </w:r>
          </w:p>
        </w:tc>
        <w:tc>
          <w:tcPr>
            <w:tcW w:w="2126" w:type="dxa"/>
            <w:vAlign w:val="center"/>
          </w:tcPr>
          <w:p>
            <w:pPr>
              <w:numPr>
                <w:ilvl w:val="0"/>
                <w:numId w:val="3"/>
              </w:numPr>
              <w:spacing w:line="240" w:lineRule="exact"/>
              <w:ind w:left="425" w:leftChars="0" w:hanging="425" w:firstLineChars="0"/>
              <w:rPr>
                <w:rFonts w:hint="eastAsia" w:ascii="仿宋_GB2312" w:hAnsi="仿宋_GB2312" w:eastAsia="仿宋_GB2312" w:cs="仿宋_GB2312"/>
                <w:color w:val="auto"/>
                <w:sz w:val="20"/>
                <w:szCs w:val="20"/>
              </w:rPr>
            </w:pPr>
          </w:p>
        </w:tc>
        <w:tc>
          <w:tcPr>
            <w:tcW w:w="992" w:type="dxa"/>
            <w:vAlign w:val="center"/>
          </w:tcPr>
          <w:p>
            <w:pPr>
              <w:numPr>
                <w:ilvl w:val="0"/>
                <w:numId w:val="4"/>
              </w:numPr>
              <w:spacing w:line="240" w:lineRule="exact"/>
              <w:ind w:left="425" w:leftChars="0" w:hanging="425" w:firstLineChars="0"/>
              <w:rPr>
                <w:rFonts w:hint="eastAsia" w:ascii="仿宋_GB2312" w:hAnsi="仿宋_GB2312" w:eastAsia="仿宋_GB2312" w:cs="仿宋_GB2312"/>
                <w:color w:val="auto"/>
                <w:sz w:val="20"/>
                <w:szCs w:val="20"/>
              </w:rPr>
            </w:pPr>
          </w:p>
        </w:tc>
        <w:tc>
          <w:tcPr>
            <w:tcW w:w="1010" w:type="dxa"/>
            <w:vAlign w:val="center"/>
          </w:tcPr>
          <w:p>
            <w:pPr>
              <w:spacing w:line="240" w:lineRule="exact"/>
              <w:rPr>
                <w:rFonts w:hint="eastAsia" w:ascii="仿宋_GB2312" w:hAnsi="仿宋_GB2312" w:eastAsia="仿宋_GB2312" w:cs="仿宋_GB2312"/>
                <w:color w:val="auto"/>
                <w:sz w:val="20"/>
                <w:szCs w:val="20"/>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55" w:hRule="atLeast"/>
          <w:jc w:val="center"/>
        </w:trPr>
        <w:tc>
          <w:tcPr>
            <w:tcW w:w="758" w:type="dxa"/>
            <w:vAlign w:val="center"/>
          </w:tcPr>
          <w:p>
            <w:pPr>
              <w:numPr>
                <w:ilvl w:val="0"/>
                <w:numId w:val="1"/>
              </w:numPr>
              <w:spacing w:line="240" w:lineRule="exact"/>
              <w:ind w:left="425" w:leftChars="0" w:hanging="425" w:firstLineChars="0"/>
              <w:jc w:val="center"/>
              <w:rPr>
                <w:rFonts w:hint="eastAsia" w:ascii="仿宋_GB2312" w:hAnsi="仿宋_GB2312" w:eastAsia="仿宋_GB2312" w:cs="仿宋_GB2312"/>
                <w:color w:val="auto"/>
                <w:sz w:val="20"/>
                <w:szCs w:val="20"/>
                <w:lang w:val="en-US" w:eastAsia="zh-CN"/>
              </w:rPr>
            </w:pPr>
          </w:p>
        </w:tc>
        <w:tc>
          <w:tcPr>
            <w:tcW w:w="3108" w:type="dx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0"/>
                <w:szCs w:val="20"/>
                <w:u w:val="none"/>
                <w:lang w:val="en-US" w:eastAsia="zh-CN" w:bidi="ar"/>
              </w:rPr>
            </w:pPr>
            <w:r>
              <w:rPr>
                <w:rFonts w:hint="eastAsia" w:ascii="仿宋_GB2312" w:hAnsi="仿宋_GB2312" w:eastAsia="仿宋_GB2312" w:cs="仿宋_GB2312"/>
                <w:i w:val="0"/>
                <w:iCs w:val="0"/>
                <w:color w:val="auto"/>
                <w:kern w:val="0"/>
                <w:sz w:val="20"/>
                <w:szCs w:val="20"/>
                <w:u w:val="none"/>
                <w:lang w:val="en-US" w:eastAsia="zh-CN" w:bidi="ar"/>
              </w:rPr>
              <w:t>对未经注册擅自以注册消防工程师名义执业，或者被依法注销注册后继续执业的行政处罚</w:t>
            </w:r>
          </w:p>
        </w:tc>
        <w:tc>
          <w:tcPr>
            <w:tcW w:w="1286" w:type="dxa"/>
            <w:vAlign w:val="center"/>
          </w:tcPr>
          <w:p>
            <w:pPr>
              <w:numPr>
                <w:ilvl w:val="0"/>
                <w:numId w:val="2"/>
              </w:numPr>
              <w:spacing w:line="240" w:lineRule="exact"/>
              <w:ind w:left="425" w:leftChars="0" w:hanging="425" w:firstLineChars="0"/>
              <w:rPr>
                <w:rFonts w:hint="eastAsia" w:ascii="仿宋_GB2312" w:hAnsi="仿宋_GB2312" w:eastAsia="仿宋_GB2312" w:cs="仿宋_GB2312"/>
                <w:color w:val="auto"/>
                <w:sz w:val="20"/>
                <w:szCs w:val="20"/>
              </w:rPr>
            </w:pPr>
          </w:p>
        </w:tc>
        <w:tc>
          <w:tcPr>
            <w:tcW w:w="4253" w:type="dxa"/>
            <w:vAlign w:val="center"/>
          </w:tcPr>
          <w:p>
            <w:pPr>
              <w:keepNext w:val="0"/>
              <w:keepLines w:val="0"/>
              <w:widowControl/>
              <w:suppressLineNumbers w:val="0"/>
              <w:jc w:val="left"/>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《注册消防工程师管理规定》第五十一条 未经注册擅自以注册消防工程师名义执业，或者被依法注销注册后继续执业的，责令停止违法活动，处一万元以上三万元以下罚款。</w:t>
            </w:r>
          </w:p>
        </w:tc>
        <w:tc>
          <w:tcPr>
            <w:tcW w:w="2126" w:type="dxa"/>
            <w:vAlign w:val="center"/>
          </w:tcPr>
          <w:p>
            <w:pPr>
              <w:numPr>
                <w:ilvl w:val="0"/>
                <w:numId w:val="3"/>
              </w:numPr>
              <w:spacing w:line="240" w:lineRule="exact"/>
              <w:ind w:left="425" w:leftChars="0" w:hanging="425" w:firstLineChars="0"/>
              <w:rPr>
                <w:rFonts w:hint="eastAsia" w:ascii="仿宋_GB2312" w:hAnsi="仿宋_GB2312" w:eastAsia="仿宋_GB2312" w:cs="仿宋_GB2312"/>
                <w:color w:val="auto"/>
                <w:sz w:val="20"/>
                <w:szCs w:val="20"/>
              </w:rPr>
            </w:pPr>
          </w:p>
        </w:tc>
        <w:tc>
          <w:tcPr>
            <w:tcW w:w="992" w:type="dxa"/>
            <w:vAlign w:val="center"/>
          </w:tcPr>
          <w:p>
            <w:pPr>
              <w:numPr>
                <w:ilvl w:val="0"/>
                <w:numId w:val="4"/>
              </w:numPr>
              <w:spacing w:line="240" w:lineRule="exact"/>
              <w:ind w:left="425" w:leftChars="0" w:hanging="425" w:firstLineChars="0"/>
              <w:rPr>
                <w:rFonts w:hint="eastAsia" w:ascii="仿宋_GB2312" w:hAnsi="仿宋_GB2312" w:eastAsia="仿宋_GB2312" w:cs="仿宋_GB2312"/>
                <w:color w:val="auto"/>
                <w:sz w:val="20"/>
                <w:szCs w:val="20"/>
              </w:rPr>
            </w:pPr>
          </w:p>
        </w:tc>
        <w:tc>
          <w:tcPr>
            <w:tcW w:w="1010" w:type="dxa"/>
            <w:vAlign w:val="center"/>
          </w:tcPr>
          <w:p>
            <w:pPr>
              <w:spacing w:line="240" w:lineRule="exact"/>
              <w:rPr>
                <w:rFonts w:hint="eastAsia" w:ascii="仿宋_GB2312" w:hAnsi="仿宋_GB2312" w:eastAsia="仿宋_GB2312" w:cs="仿宋_GB2312"/>
                <w:color w:val="auto"/>
                <w:sz w:val="20"/>
                <w:szCs w:val="20"/>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55" w:hRule="atLeast"/>
          <w:jc w:val="center"/>
        </w:trPr>
        <w:tc>
          <w:tcPr>
            <w:tcW w:w="758" w:type="dxa"/>
            <w:vAlign w:val="center"/>
          </w:tcPr>
          <w:p>
            <w:pPr>
              <w:numPr>
                <w:ilvl w:val="0"/>
                <w:numId w:val="1"/>
              </w:numPr>
              <w:spacing w:line="240" w:lineRule="exact"/>
              <w:ind w:left="425" w:leftChars="0" w:hanging="425" w:firstLineChars="0"/>
              <w:jc w:val="center"/>
              <w:rPr>
                <w:rFonts w:hint="eastAsia" w:ascii="仿宋_GB2312" w:hAnsi="仿宋_GB2312" w:eastAsia="仿宋_GB2312" w:cs="仿宋_GB2312"/>
                <w:color w:val="auto"/>
                <w:sz w:val="20"/>
                <w:szCs w:val="20"/>
                <w:lang w:val="en-US" w:eastAsia="zh-CN"/>
              </w:rPr>
            </w:pPr>
          </w:p>
        </w:tc>
        <w:tc>
          <w:tcPr>
            <w:tcW w:w="3108" w:type="dx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0"/>
                <w:szCs w:val="20"/>
                <w:u w:val="none"/>
                <w:lang w:val="en-US" w:eastAsia="zh-CN" w:bidi="ar"/>
              </w:rPr>
            </w:pPr>
            <w:r>
              <w:rPr>
                <w:rFonts w:hint="eastAsia" w:ascii="仿宋_GB2312" w:hAnsi="仿宋_GB2312" w:eastAsia="仿宋_GB2312" w:cs="仿宋_GB2312"/>
                <w:i w:val="0"/>
                <w:iCs w:val="0"/>
                <w:color w:val="auto"/>
                <w:kern w:val="0"/>
                <w:sz w:val="20"/>
                <w:szCs w:val="20"/>
                <w:u w:val="none"/>
                <w:lang w:val="en-US" w:eastAsia="zh-CN" w:bidi="ar"/>
              </w:rPr>
              <w:t>对未经准予变更注册而继续执业的行政处罚</w:t>
            </w:r>
          </w:p>
        </w:tc>
        <w:tc>
          <w:tcPr>
            <w:tcW w:w="1286" w:type="dxa"/>
            <w:vAlign w:val="center"/>
          </w:tcPr>
          <w:p>
            <w:pPr>
              <w:numPr>
                <w:ilvl w:val="0"/>
                <w:numId w:val="2"/>
              </w:numPr>
              <w:spacing w:line="240" w:lineRule="exact"/>
              <w:ind w:left="425" w:leftChars="0" w:hanging="425" w:firstLineChars="0"/>
              <w:rPr>
                <w:rFonts w:hint="eastAsia" w:ascii="仿宋_GB2312" w:hAnsi="仿宋_GB2312" w:eastAsia="仿宋_GB2312" w:cs="仿宋_GB2312"/>
                <w:color w:val="auto"/>
                <w:sz w:val="20"/>
                <w:szCs w:val="20"/>
              </w:rPr>
            </w:pPr>
          </w:p>
        </w:tc>
        <w:tc>
          <w:tcPr>
            <w:tcW w:w="4253" w:type="dxa"/>
            <w:vAlign w:val="center"/>
          </w:tcPr>
          <w:p>
            <w:pPr>
              <w:keepNext w:val="0"/>
              <w:keepLines w:val="0"/>
              <w:widowControl/>
              <w:suppressLineNumbers w:val="0"/>
              <w:jc w:val="left"/>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《注册消防工程师管理规定》第五十二条 注册消防工程师有需要变更注册的情形，未经注册审批部门准予变更注册而继续执业的，责令改正，处一千元以上一万元以下罚款。</w:t>
            </w:r>
          </w:p>
        </w:tc>
        <w:tc>
          <w:tcPr>
            <w:tcW w:w="2126" w:type="dxa"/>
            <w:vAlign w:val="center"/>
          </w:tcPr>
          <w:p>
            <w:pPr>
              <w:numPr>
                <w:ilvl w:val="0"/>
                <w:numId w:val="3"/>
              </w:numPr>
              <w:spacing w:line="240" w:lineRule="exact"/>
              <w:ind w:left="425" w:leftChars="0" w:hanging="425" w:firstLineChars="0"/>
              <w:rPr>
                <w:rFonts w:hint="eastAsia" w:ascii="仿宋_GB2312" w:hAnsi="仿宋_GB2312" w:eastAsia="仿宋_GB2312" w:cs="仿宋_GB2312"/>
                <w:color w:val="auto"/>
                <w:sz w:val="20"/>
                <w:szCs w:val="20"/>
              </w:rPr>
            </w:pPr>
          </w:p>
        </w:tc>
        <w:tc>
          <w:tcPr>
            <w:tcW w:w="992" w:type="dxa"/>
            <w:vAlign w:val="center"/>
          </w:tcPr>
          <w:p>
            <w:pPr>
              <w:numPr>
                <w:ilvl w:val="0"/>
                <w:numId w:val="4"/>
              </w:numPr>
              <w:spacing w:line="240" w:lineRule="exact"/>
              <w:ind w:left="425" w:leftChars="0" w:hanging="425" w:firstLineChars="0"/>
              <w:rPr>
                <w:rFonts w:hint="eastAsia" w:ascii="仿宋_GB2312" w:hAnsi="仿宋_GB2312" w:eastAsia="仿宋_GB2312" w:cs="仿宋_GB2312"/>
                <w:color w:val="auto"/>
                <w:sz w:val="20"/>
                <w:szCs w:val="20"/>
              </w:rPr>
            </w:pPr>
          </w:p>
        </w:tc>
        <w:tc>
          <w:tcPr>
            <w:tcW w:w="1010" w:type="dxa"/>
            <w:vAlign w:val="center"/>
          </w:tcPr>
          <w:p>
            <w:pPr>
              <w:spacing w:line="240" w:lineRule="exact"/>
              <w:rPr>
                <w:rFonts w:hint="eastAsia" w:ascii="仿宋_GB2312" w:hAnsi="仿宋_GB2312" w:eastAsia="仿宋_GB2312" w:cs="仿宋_GB2312"/>
                <w:color w:val="auto"/>
                <w:sz w:val="20"/>
                <w:szCs w:val="20"/>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55" w:hRule="atLeast"/>
          <w:jc w:val="center"/>
        </w:trPr>
        <w:tc>
          <w:tcPr>
            <w:tcW w:w="758" w:type="dxa"/>
            <w:vAlign w:val="center"/>
          </w:tcPr>
          <w:p>
            <w:pPr>
              <w:numPr>
                <w:ilvl w:val="0"/>
                <w:numId w:val="1"/>
              </w:numPr>
              <w:spacing w:line="240" w:lineRule="exact"/>
              <w:ind w:left="425" w:leftChars="0" w:hanging="425" w:firstLineChars="0"/>
              <w:jc w:val="center"/>
              <w:rPr>
                <w:rFonts w:hint="eastAsia" w:ascii="仿宋_GB2312" w:hAnsi="仿宋_GB2312" w:eastAsia="仿宋_GB2312" w:cs="仿宋_GB2312"/>
                <w:color w:val="auto"/>
                <w:sz w:val="20"/>
                <w:szCs w:val="20"/>
                <w:lang w:val="en-US" w:eastAsia="zh-CN"/>
              </w:rPr>
            </w:pPr>
          </w:p>
        </w:tc>
        <w:tc>
          <w:tcPr>
            <w:tcW w:w="3108" w:type="dx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0"/>
                <w:szCs w:val="20"/>
                <w:u w:val="none"/>
                <w:lang w:val="en-US" w:eastAsia="zh-CN" w:bidi="ar"/>
              </w:rPr>
            </w:pPr>
            <w:r>
              <w:rPr>
                <w:rFonts w:hint="eastAsia" w:ascii="仿宋_GB2312" w:hAnsi="仿宋_GB2312" w:eastAsia="仿宋_GB2312" w:cs="仿宋_GB2312"/>
                <w:i w:val="0"/>
                <w:iCs w:val="0"/>
                <w:color w:val="auto"/>
                <w:kern w:val="0"/>
                <w:sz w:val="20"/>
                <w:szCs w:val="20"/>
                <w:u w:val="none"/>
                <w:lang w:val="en-US" w:eastAsia="zh-CN" w:bidi="ar"/>
              </w:rPr>
              <w:t>对消防安全技术文件未经注册消防工程师签名、加盖执业印章的的行政处罚</w:t>
            </w:r>
          </w:p>
        </w:tc>
        <w:tc>
          <w:tcPr>
            <w:tcW w:w="1286" w:type="dxa"/>
            <w:vAlign w:val="center"/>
          </w:tcPr>
          <w:p>
            <w:pPr>
              <w:numPr>
                <w:ilvl w:val="0"/>
                <w:numId w:val="2"/>
              </w:numPr>
              <w:spacing w:line="240" w:lineRule="exact"/>
              <w:ind w:left="425" w:leftChars="0" w:hanging="425" w:firstLineChars="0"/>
              <w:rPr>
                <w:rFonts w:hint="eastAsia" w:ascii="仿宋_GB2312" w:hAnsi="仿宋_GB2312" w:eastAsia="仿宋_GB2312" w:cs="仿宋_GB2312"/>
                <w:color w:val="auto"/>
                <w:sz w:val="20"/>
                <w:szCs w:val="20"/>
              </w:rPr>
            </w:pPr>
          </w:p>
        </w:tc>
        <w:tc>
          <w:tcPr>
            <w:tcW w:w="4253" w:type="dxa"/>
            <w:vAlign w:val="center"/>
          </w:tcPr>
          <w:p>
            <w:pPr>
              <w:keepNext w:val="0"/>
              <w:keepLines w:val="0"/>
              <w:widowControl/>
              <w:suppressLineNumbers w:val="0"/>
              <w:jc w:val="left"/>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《注册消防工程师管理规定》第五十三条（对单位） 注册消防工程师聘用单位出具的消防安全技术文件，未经注册消防工程师签名或者加盖执业印章的，责令改正，处一千元以上一万元以下罚款。</w:t>
            </w:r>
          </w:p>
        </w:tc>
        <w:tc>
          <w:tcPr>
            <w:tcW w:w="2126" w:type="dxa"/>
            <w:vAlign w:val="center"/>
          </w:tcPr>
          <w:p>
            <w:pPr>
              <w:numPr>
                <w:ilvl w:val="0"/>
                <w:numId w:val="3"/>
              </w:numPr>
              <w:spacing w:line="240" w:lineRule="exact"/>
              <w:ind w:left="425" w:leftChars="0" w:hanging="425" w:firstLineChars="0"/>
              <w:rPr>
                <w:rFonts w:hint="eastAsia" w:ascii="仿宋_GB2312" w:hAnsi="仿宋_GB2312" w:eastAsia="仿宋_GB2312" w:cs="仿宋_GB2312"/>
                <w:color w:val="auto"/>
                <w:sz w:val="20"/>
                <w:szCs w:val="20"/>
              </w:rPr>
            </w:pPr>
          </w:p>
        </w:tc>
        <w:tc>
          <w:tcPr>
            <w:tcW w:w="992" w:type="dxa"/>
            <w:vAlign w:val="center"/>
          </w:tcPr>
          <w:p>
            <w:pPr>
              <w:numPr>
                <w:ilvl w:val="0"/>
                <w:numId w:val="4"/>
              </w:numPr>
              <w:spacing w:line="240" w:lineRule="exact"/>
              <w:ind w:left="425" w:leftChars="0" w:hanging="425" w:firstLineChars="0"/>
              <w:rPr>
                <w:rFonts w:hint="eastAsia" w:ascii="仿宋_GB2312" w:hAnsi="仿宋_GB2312" w:eastAsia="仿宋_GB2312" w:cs="仿宋_GB2312"/>
                <w:color w:val="auto"/>
                <w:sz w:val="20"/>
                <w:szCs w:val="20"/>
              </w:rPr>
            </w:pPr>
          </w:p>
        </w:tc>
        <w:tc>
          <w:tcPr>
            <w:tcW w:w="1010" w:type="dxa"/>
            <w:vAlign w:val="center"/>
          </w:tcPr>
          <w:p>
            <w:pPr>
              <w:spacing w:line="240" w:lineRule="exact"/>
              <w:rPr>
                <w:rFonts w:hint="eastAsia" w:ascii="仿宋_GB2312" w:hAnsi="仿宋_GB2312" w:eastAsia="仿宋_GB2312" w:cs="仿宋_GB2312"/>
                <w:color w:val="auto"/>
                <w:sz w:val="20"/>
                <w:szCs w:val="20"/>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55" w:hRule="atLeast"/>
          <w:jc w:val="center"/>
        </w:trPr>
        <w:tc>
          <w:tcPr>
            <w:tcW w:w="758" w:type="dxa"/>
            <w:vAlign w:val="center"/>
          </w:tcPr>
          <w:p>
            <w:pPr>
              <w:numPr>
                <w:ilvl w:val="0"/>
                <w:numId w:val="1"/>
              </w:numPr>
              <w:spacing w:line="240" w:lineRule="exact"/>
              <w:ind w:left="425" w:leftChars="0" w:hanging="425" w:firstLineChars="0"/>
              <w:jc w:val="center"/>
              <w:rPr>
                <w:rFonts w:hint="eastAsia" w:ascii="仿宋_GB2312" w:hAnsi="仿宋_GB2312" w:eastAsia="仿宋_GB2312" w:cs="仿宋_GB2312"/>
                <w:color w:val="auto"/>
                <w:sz w:val="20"/>
                <w:szCs w:val="20"/>
                <w:lang w:val="en-US" w:eastAsia="zh-CN"/>
              </w:rPr>
            </w:pPr>
          </w:p>
        </w:tc>
        <w:tc>
          <w:tcPr>
            <w:tcW w:w="3108" w:type="dx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0"/>
                <w:szCs w:val="20"/>
                <w:u w:val="none"/>
                <w:lang w:val="en-US" w:eastAsia="zh-CN" w:bidi="ar"/>
              </w:rPr>
            </w:pPr>
            <w:r>
              <w:rPr>
                <w:rFonts w:hint="eastAsia" w:ascii="仿宋_GB2312" w:hAnsi="仿宋_GB2312" w:eastAsia="仿宋_GB2312" w:cs="仿宋_GB2312"/>
                <w:i w:val="0"/>
                <w:iCs w:val="0"/>
                <w:color w:val="auto"/>
                <w:kern w:val="0"/>
                <w:sz w:val="20"/>
                <w:szCs w:val="20"/>
                <w:u w:val="none"/>
                <w:lang w:val="en-US" w:eastAsia="zh-CN" w:bidi="ar"/>
              </w:rPr>
              <w:t>对注册消防工程师未按照国家标准、行业标准开展执业活动，减少执业活动项目内容、数量，或者执业活动质量不符合国家标准、行业标准的行政处罚</w:t>
            </w:r>
          </w:p>
        </w:tc>
        <w:tc>
          <w:tcPr>
            <w:tcW w:w="1286" w:type="dxa"/>
            <w:vAlign w:val="center"/>
          </w:tcPr>
          <w:p>
            <w:pPr>
              <w:numPr>
                <w:ilvl w:val="0"/>
                <w:numId w:val="2"/>
              </w:numPr>
              <w:spacing w:line="240" w:lineRule="exact"/>
              <w:ind w:left="425" w:leftChars="0" w:hanging="425" w:firstLineChars="0"/>
              <w:rPr>
                <w:rFonts w:hint="eastAsia" w:ascii="仿宋_GB2312" w:hAnsi="仿宋_GB2312" w:eastAsia="仿宋_GB2312" w:cs="仿宋_GB2312"/>
                <w:color w:val="auto"/>
                <w:sz w:val="20"/>
                <w:szCs w:val="20"/>
              </w:rPr>
            </w:pPr>
          </w:p>
        </w:tc>
        <w:tc>
          <w:tcPr>
            <w:tcW w:w="4253" w:type="dxa"/>
            <w:vAlign w:val="center"/>
          </w:tcPr>
          <w:p>
            <w:pPr>
              <w:keepNext w:val="0"/>
              <w:keepLines w:val="0"/>
              <w:widowControl/>
              <w:suppressLineNumbers w:val="0"/>
              <w:jc w:val="left"/>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《注册消防工程师管理规定》第第五十四条 注册消防工程师未按照国家标准、行业标准开展执业活动，减少执业活动项目内容、数量，或者执业活动质量不符合国家标准、行业标准的，责令改正，处一千元以上一万元以下罚款。</w:t>
            </w:r>
          </w:p>
        </w:tc>
        <w:tc>
          <w:tcPr>
            <w:tcW w:w="2126" w:type="dxa"/>
            <w:vAlign w:val="center"/>
          </w:tcPr>
          <w:p>
            <w:pPr>
              <w:numPr>
                <w:ilvl w:val="0"/>
                <w:numId w:val="3"/>
              </w:numPr>
              <w:spacing w:line="240" w:lineRule="exact"/>
              <w:ind w:left="425" w:leftChars="0" w:hanging="425" w:firstLineChars="0"/>
              <w:rPr>
                <w:rFonts w:hint="eastAsia" w:ascii="仿宋_GB2312" w:hAnsi="仿宋_GB2312" w:eastAsia="仿宋_GB2312" w:cs="仿宋_GB2312"/>
                <w:color w:val="auto"/>
                <w:sz w:val="20"/>
                <w:szCs w:val="20"/>
              </w:rPr>
            </w:pPr>
          </w:p>
        </w:tc>
        <w:tc>
          <w:tcPr>
            <w:tcW w:w="992" w:type="dxa"/>
            <w:vAlign w:val="center"/>
          </w:tcPr>
          <w:p>
            <w:pPr>
              <w:numPr>
                <w:ilvl w:val="0"/>
                <w:numId w:val="4"/>
              </w:numPr>
              <w:spacing w:line="240" w:lineRule="exact"/>
              <w:ind w:left="425" w:leftChars="0" w:hanging="425" w:firstLineChars="0"/>
              <w:rPr>
                <w:rFonts w:hint="eastAsia" w:ascii="仿宋_GB2312" w:hAnsi="仿宋_GB2312" w:eastAsia="仿宋_GB2312" w:cs="仿宋_GB2312"/>
                <w:color w:val="auto"/>
                <w:sz w:val="20"/>
                <w:szCs w:val="20"/>
              </w:rPr>
            </w:pPr>
          </w:p>
        </w:tc>
        <w:tc>
          <w:tcPr>
            <w:tcW w:w="1010" w:type="dxa"/>
            <w:vAlign w:val="center"/>
          </w:tcPr>
          <w:p>
            <w:pPr>
              <w:spacing w:line="240" w:lineRule="exact"/>
              <w:rPr>
                <w:rFonts w:hint="eastAsia" w:ascii="仿宋_GB2312" w:hAnsi="仿宋_GB2312" w:eastAsia="仿宋_GB2312" w:cs="仿宋_GB2312"/>
                <w:color w:val="auto"/>
                <w:sz w:val="20"/>
                <w:szCs w:val="20"/>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55" w:hRule="atLeast"/>
          <w:jc w:val="center"/>
        </w:trPr>
        <w:tc>
          <w:tcPr>
            <w:tcW w:w="758" w:type="dxa"/>
            <w:vAlign w:val="center"/>
          </w:tcPr>
          <w:p>
            <w:pPr>
              <w:numPr>
                <w:ilvl w:val="0"/>
                <w:numId w:val="1"/>
              </w:numPr>
              <w:spacing w:line="240" w:lineRule="exact"/>
              <w:ind w:left="425" w:leftChars="0" w:hanging="425" w:firstLineChars="0"/>
              <w:jc w:val="center"/>
              <w:rPr>
                <w:rFonts w:hint="eastAsia" w:ascii="仿宋_GB2312" w:hAnsi="仿宋_GB2312" w:eastAsia="仿宋_GB2312" w:cs="仿宋_GB2312"/>
                <w:color w:val="auto"/>
                <w:sz w:val="20"/>
                <w:szCs w:val="20"/>
                <w:lang w:val="en-US" w:eastAsia="zh-CN"/>
              </w:rPr>
            </w:pPr>
          </w:p>
        </w:tc>
        <w:tc>
          <w:tcPr>
            <w:tcW w:w="3108" w:type="dx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0"/>
                <w:szCs w:val="20"/>
                <w:u w:val="none"/>
                <w:lang w:val="en-US" w:eastAsia="zh-CN" w:bidi="ar"/>
              </w:rPr>
            </w:pPr>
            <w:r>
              <w:rPr>
                <w:rFonts w:hint="eastAsia" w:ascii="仿宋_GB2312" w:hAnsi="仿宋_GB2312" w:eastAsia="仿宋_GB2312" w:cs="仿宋_GB2312"/>
                <w:i w:val="0"/>
                <w:iCs w:val="0"/>
                <w:color w:val="auto"/>
                <w:kern w:val="0"/>
                <w:sz w:val="20"/>
                <w:szCs w:val="20"/>
                <w:u w:val="none"/>
                <w:lang w:val="en-US" w:eastAsia="zh-CN" w:bidi="ar"/>
              </w:rPr>
              <w:t>对以个人名义承接执业业务、开展执业活动的行政处罚</w:t>
            </w:r>
          </w:p>
        </w:tc>
        <w:tc>
          <w:tcPr>
            <w:tcW w:w="1286" w:type="dxa"/>
            <w:vAlign w:val="center"/>
          </w:tcPr>
          <w:p>
            <w:pPr>
              <w:numPr>
                <w:ilvl w:val="0"/>
                <w:numId w:val="2"/>
              </w:numPr>
              <w:spacing w:line="240" w:lineRule="exact"/>
              <w:ind w:left="425" w:leftChars="0" w:hanging="425" w:firstLineChars="0"/>
              <w:rPr>
                <w:rFonts w:hint="eastAsia" w:ascii="仿宋_GB2312" w:hAnsi="仿宋_GB2312" w:eastAsia="仿宋_GB2312" w:cs="仿宋_GB2312"/>
                <w:color w:val="auto"/>
                <w:sz w:val="20"/>
                <w:szCs w:val="20"/>
              </w:rPr>
            </w:pPr>
          </w:p>
        </w:tc>
        <w:tc>
          <w:tcPr>
            <w:tcW w:w="4253" w:type="dxa"/>
            <w:vAlign w:val="center"/>
          </w:tcPr>
          <w:p>
            <w:pPr>
              <w:keepNext w:val="0"/>
              <w:keepLines w:val="0"/>
              <w:widowControl/>
              <w:suppressLineNumbers w:val="0"/>
              <w:jc w:val="left"/>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《注册消防工程师管理规定》第五十五条第一项 以个人名义承接执业业务、开展执业活动的，责令改正，处一万元以上二万元以下罚款。</w:t>
            </w:r>
          </w:p>
        </w:tc>
        <w:tc>
          <w:tcPr>
            <w:tcW w:w="2126" w:type="dxa"/>
            <w:vAlign w:val="center"/>
          </w:tcPr>
          <w:p>
            <w:pPr>
              <w:numPr>
                <w:ilvl w:val="0"/>
                <w:numId w:val="3"/>
              </w:numPr>
              <w:spacing w:line="240" w:lineRule="exact"/>
              <w:ind w:left="425" w:leftChars="0" w:hanging="425" w:firstLineChars="0"/>
              <w:rPr>
                <w:rFonts w:hint="eastAsia" w:ascii="仿宋_GB2312" w:hAnsi="仿宋_GB2312" w:eastAsia="仿宋_GB2312" w:cs="仿宋_GB2312"/>
                <w:color w:val="auto"/>
                <w:sz w:val="20"/>
                <w:szCs w:val="20"/>
              </w:rPr>
            </w:pPr>
          </w:p>
        </w:tc>
        <w:tc>
          <w:tcPr>
            <w:tcW w:w="992" w:type="dxa"/>
            <w:vAlign w:val="center"/>
          </w:tcPr>
          <w:p>
            <w:pPr>
              <w:numPr>
                <w:ilvl w:val="0"/>
                <w:numId w:val="4"/>
              </w:numPr>
              <w:spacing w:line="240" w:lineRule="exact"/>
              <w:ind w:left="425" w:leftChars="0" w:hanging="425" w:firstLineChars="0"/>
              <w:rPr>
                <w:rFonts w:hint="eastAsia" w:ascii="仿宋_GB2312" w:hAnsi="仿宋_GB2312" w:eastAsia="仿宋_GB2312" w:cs="仿宋_GB2312"/>
                <w:color w:val="auto"/>
                <w:sz w:val="20"/>
                <w:szCs w:val="20"/>
              </w:rPr>
            </w:pPr>
          </w:p>
        </w:tc>
        <w:tc>
          <w:tcPr>
            <w:tcW w:w="1010" w:type="dxa"/>
            <w:vAlign w:val="center"/>
          </w:tcPr>
          <w:p>
            <w:pPr>
              <w:spacing w:line="240" w:lineRule="exact"/>
              <w:rPr>
                <w:rFonts w:hint="eastAsia" w:ascii="仿宋_GB2312" w:hAnsi="仿宋_GB2312" w:eastAsia="仿宋_GB2312" w:cs="仿宋_GB2312"/>
                <w:color w:val="auto"/>
                <w:sz w:val="20"/>
                <w:szCs w:val="20"/>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55" w:hRule="atLeast"/>
          <w:jc w:val="center"/>
        </w:trPr>
        <w:tc>
          <w:tcPr>
            <w:tcW w:w="758" w:type="dxa"/>
            <w:vAlign w:val="center"/>
          </w:tcPr>
          <w:p>
            <w:pPr>
              <w:numPr>
                <w:ilvl w:val="0"/>
                <w:numId w:val="1"/>
              </w:numPr>
              <w:spacing w:line="240" w:lineRule="exact"/>
              <w:ind w:left="425" w:leftChars="0" w:hanging="425" w:firstLineChars="0"/>
              <w:jc w:val="center"/>
              <w:rPr>
                <w:rFonts w:hint="eastAsia" w:ascii="仿宋_GB2312" w:hAnsi="仿宋_GB2312" w:eastAsia="仿宋_GB2312" w:cs="仿宋_GB2312"/>
                <w:color w:val="auto"/>
                <w:sz w:val="20"/>
                <w:szCs w:val="20"/>
                <w:lang w:val="en-US" w:eastAsia="zh-CN"/>
              </w:rPr>
            </w:pPr>
          </w:p>
        </w:tc>
        <w:tc>
          <w:tcPr>
            <w:tcW w:w="3108" w:type="dx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0"/>
                <w:szCs w:val="20"/>
                <w:u w:val="none"/>
                <w:lang w:val="en-US" w:eastAsia="zh-CN" w:bidi="ar"/>
              </w:rPr>
            </w:pPr>
            <w:r>
              <w:rPr>
                <w:rFonts w:hint="eastAsia" w:ascii="仿宋_GB2312" w:hAnsi="仿宋_GB2312" w:eastAsia="仿宋_GB2312" w:cs="仿宋_GB2312"/>
                <w:i w:val="0"/>
                <w:iCs w:val="0"/>
                <w:color w:val="auto"/>
                <w:kern w:val="0"/>
                <w:sz w:val="20"/>
                <w:szCs w:val="20"/>
                <w:u w:val="none"/>
                <w:lang w:val="en-US" w:eastAsia="zh-CN" w:bidi="ar"/>
              </w:rPr>
              <w:t>对变造、倒卖、出租、出借、以其他形式转让资格证书、注册证、执业印章的行政处罚</w:t>
            </w:r>
          </w:p>
        </w:tc>
        <w:tc>
          <w:tcPr>
            <w:tcW w:w="1286" w:type="dxa"/>
            <w:vAlign w:val="center"/>
          </w:tcPr>
          <w:p>
            <w:pPr>
              <w:numPr>
                <w:ilvl w:val="0"/>
                <w:numId w:val="2"/>
              </w:numPr>
              <w:spacing w:line="240" w:lineRule="exact"/>
              <w:ind w:left="425" w:leftChars="0" w:hanging="425" w:firstLineChars="0"/>
              <w:rPr>
                <w:rFonts w:hint="eastAsia" w:ascii="仿宋_GB2312" w:hAnsi="仿宋_GB2312" w:eastAsia="仿宋_GB2312" w:cs="仿宋_GB2312"/>
                <w:color w:val="auto"/>
                <w:sz w:val="20"/>
                <w:szCs w:val="20"/>
              </w:rPr>
            </w:pPr>
          </w:p>
        </w:tc>
        <w:tc>
          <w:tcPr>
            <w:tcW w:w="4253" w:type="dxa"/>
            <w:vAlign w:val="center"/>
          </w:tcPr>
          <w:p>
            <w:pPr>
              <w:keepNext w:val="0"/>
              <w:keepLines w:val="0"/>
              <w:widowControl/>
              <w:suppressLineNumbers w:val="0"/>
              <w:jc w:val="left"/>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《注册消防工程师管理规定》第五十五条第二项 变造、倒卖、出租、出借或者以其他形式转让资格证书、注册证、执业印章的，责令改正，处一万元以上二万元以下罚款。</w:t>
            </w:r>
          </w:p>
        </w:tc>
        <w:tc>
          <w:tcPr>
            <w:tcW w:w="2126" w:type="dxa"/>
            <w:vAlign w:val="center"/>
          </w:tcPr>
          <w:p>
            <w:pPr>
              <w:numPr>
                <w:ilvl w:val="0"/>
                <w:numId w:val="3"/>
              </w:numPr>
              <w:spacing w:line="240" w:lineRule="exact"/>
              <w:ind w:left="425" w:leftChars="0" w:hanging="425" w:firstLineChars="0"/>
              <w:rPr>
                <w:rFonts w:hint="eastAsia" w:ascii="仿宋_GB2312" w:hAnsi="仿宋_GB2312" w:eastAsia="仿宋_GB2312" w:cs="仿宋_GB2312"/>
                <w:color w:val="auto"/>
                <w:sz w:val="20"/>
                <w:szCs w:val="20"/>
              </w:rPr>
            </w:pPr>
          </w:p>
        </w:tc>
        <w:tc>
          <w:tcPr>
            <w:tcW w:w="992" w:type="dxa"/>
            <w:vAlign w:val="center"/>
          </w:tcPr>
          <w:p>
            <w:pPr>
              <w:numPr>
                <w:ilvl w:val="0"/>
                <w:numId w:val="4"/>
              </w:numPr>
              <w:spacing w:line="240" w:lineRule="exact"/>
              <w:ind w:left="425" w:leftChars="0" w:hanging="425" w:firstLineChars="0"/>
              <w:rPr>
                <w:rFonts w:hint="eastAsia" w:ascii="仿宋_GB2312" w:hAnsi="仿宋_GB2312" w:eastAsia="仿宋_GB2312" w:cs="仿宋_GB2312"/>
                <w:color w:val="auto"/>
                <w:sz w:val="20"/>
                <w:szCs w:val="20"/>
              </w:rPr>
            </w:pPr>
          </w:p>
        </w:tc>
        <w:tc>
          <w:tcPr>
            <w:tcW w:w="1010" w:type="dxa"/>
            <w:vAlign w:val="center"/>
          </w:tcPr>
          <w:p>
            <w:pPr>
              <w:spacing w:line="240" w:lineRule="exact"/>
              <w:rPr>
                <w:rFonts w:hint="eastAsia" w:ascii="仿宋_GB2312" w:hAnsi="仿宋_GB2312" w:eastAsia="仿宋_GB2312" w:cs="仿宋_GB2312"/>
                <w:color w:val="auto"/>
                <w:sz w:val="20"/>
                <w:szCs w:val="20"/>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55" w:hRule="atLeast"/>
          <w:jc w:val="center"/>
        </w:trPr>
        <w:tc>
          <w:tcPr>
            <w:tcW w:w="758" w:type="dxa"/>
            <w:vAlign w:val="center"/>
          </w:tcPr>
          <w:p>
            <w:pPr>
              <w:numPr>
                <w:ilvl w:val="0"/>
                <w:numId w:val="1"/>
              </w:numPr>
              <w:spacing w:line="240" w:lineRule="exact"/>
              <w:ind w:left="425" w:leftChars="0" w:hanging="425" w:firstLineChars="0"/>
              <w:jc w:val="center"/>
              <w:rPr>
                <w:rFonts w:hint="eastAsia" w:ascii="仿宋_GB2312" w:hAnsi="仿宋_GB2312" w:eastAsia="仿宋_GB2312" w:cs="仿宋_GB2312"/>
                <w:color w:val="auto"/>
                <w:sz w:val="20"/>
                <w:szCs w:val="20"/>
                <w:lang w:val="en-US" w:eastAsia="zh-CN"/>
              </w:rPr>
            </w:pPr>
          </w:p>
        </w:tc>
        <w:tc>
          <w:tcPr>
            <w:tcW w:w="3108" w:type="dx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0"/>
                <w:szCs w:val="20"/>
                <w:u w:val="none"/>
                <w:lang w:val="en-US" w:eastAsia="zh-CN" w:bidi="ar"/>
              </w:rPr>
            </w:pPr>
            <w:r>
              <w:rPr>
                <w:rFonts w:hint="eastAsia" w:ascii="仿宋_GB2312" w:hAnsi="仿宋_GB2312" w:eastAsia="仿宋_GB2312" w:cs="仿宋_GB2312"/>
                <w:i w:val="0"/>
                <w:iCs w:val="0"/>
                <w:color w:val="auto"/>
                <w:kern w:val="0"/>
                <w:sz w:val="20"/>
                <w:szCs w:val="20"/>
                <w:u w:val="none"/>
                <w:lang w:val="en-US" w:eastAsia="zh-CN" w:bidi="ar"/>
              </w:rPr>
              <w:t>对超出本人执业范围开展执业活动的行政处罚</w:t>
            </w:r>
          </w:p>
        </w:tc>
        <w:tc>
          <w:tcPr>
            <w:tcW w:w="1286" w:type="dxa"/>
            <w:vAlign w:val="center"/>
          </w:tcPr>
          <w:p>
            <w:pPr>
              <w:numPr>
                <w:ilvl w:val="0"/>
                <w:numId w:val="2"/>
              </w:numPr>
              <w:spacing w:line="240" w:lineRule="exact"/>
              <w:ind w:left="425" w:leftChars="0" w:hanging="425" w:firstLineChars="0"/>
              <w:rPr>
                <w:rFonts w:hint="eastAsia" w:ascii="仿宋_GB2312" w:hAnsi="仿宋_GB2312" w:eastAsia="仿宋_GB2312" w:cs="仿宋_GB2312"/>
                <w:color w:val="auto"/>
                <w:sz w:val="20"/>
                <w:szCs w:val="20"/>
              </w:rPr>
            </w:pPr>
          </w:p>
        </w:tc>
        <w:tc>
          <w:tcPr>
            <w:tcW w:w="4253" w:type="dxa"/>
            <w:vAlign w:val="center"/>
          </w:tcPr>
          <w:p>
            <w:pPr>
              <w:keepNext w:val="0"/>
              <w:keepLines w:val="0"/>
              <w:widowControl/>
              <w:suppressLineNumbers w:val="0"/>
              <w:jc w:val="left"/>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《注册消防工程师管理规定》第五十五条第三项 超出本人执业范围或者聘用单位业务范围开展执业活动的，责令改正，处一万元以上二万元以下罚款。</w:t>
            </w:r>
          </w:p>
        </w:tc>
        <w:tc>
          <w:tcPr>
            <w:tcW w:w="2126" w:type="dxa"/>
            <w:vAlign w:val="center"/>
          </w:tcPr>
          <w:p>
            <w:pPr>
              <w:numPr>
                <w:ilvl w:val="0"/>
                <w:numId w:val="3"/>
              </w:numPr>
              <w:spacing w:line="240" w:lineRule="exact"/>
              <w:ind w:left="425" w:leftChars="0" w:hanging="425" w:firstLineChars="0"/>
              <w:rPr>
                <w:rFonts w:hint="eastAsia" w:ascii="仿宋_GB2312" w:hAnsi="仿宋_GB2312" w:eastAsia="仿宋_GB2312" w:cs="仿宋_GB2312"/>
                <w:color w:val="auto"/>
                <w:sz w:val="20"/>
                <w:szCs w:val="20"/>
              </w:rPr>
            </w:pPr>
          </w:p>
        </w:tc>
        <w:tc>
          <w:tcPr>
            <w:tcW w:w="992" w:type="dxa"/>
            <w:vAlign w:val="center"/>
          </w:tcPr>
          <w:p>
            <w:pPr>
              <w:numPr>
                <w:ilvl w:val="0"/>
                <w:numId w:val="4"/>
              </w:numPr>
              <w:spacing w:line="240" w:lineRule="exact"/>
              <w:ind w:left="425" w:leftChars="0" w:hanging="425" w:firstLineChars="0"/>
              <w:rPr>
                <w:rFonts w:hint="eastAsia" w:ascii="仿宋_GB2312" w:hAnsi="仿宋_GB2312" w:eastAsia="仿宋_GB2312" w:cs="仿宋_GB2312"/>
                <w:color w:val="auto"/>
                <w:sz w:val="20"/>
                <w:szCs w:val="20"/>
              </w:rPr>
            </w:pPr>
          </w:p>
        </w:tc>
        <w:tc>
          <w:tcPr>
            <w:tcW w:w="1010" w:type="dxa"/>
            <w:vAlign w:val="center"/>
          </w:tcPr>
          <w:p>
            <w:pPr>
              <w:spacing w:line="240" w:lineRule="exact"/>
              <w:rPr>
                <w:rFonts w:hint="eastAsia" w:ascii="仿宋_GB2312" w:hAnsi="仿宋_GB2312" w:eastAsia="仿宋_GB2312" w:cs="仿宋_GB2312"/>
                <w:color w:val="auto"/>
                <w:sz w:val="20"/>
                <w:szCs w:val="20"/>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55" w:hRule="atLeast"/>
          <w:jc w:val="center"/>
        </w:trPr>
        <w:tc>
          <w:tcPr>
            <w:tcW w:w="758" w:type="dxa"/>
            <w:vAlign w:val="center"/>
          </w:tcPr>
          <w:p>
            <w:pPr>
              <w:numPr>
                <w:ilvl w:val="0"/>
                <w:numId w:val="1"/>
              </w:numPr>
              <w:spacing w:line="240" w:lineRule="exact"/>
              <w:ind w:left="425" w:leftChars="0" w:hanging="425" w:firstLineChars="0"/>
              <w:jc w:val="center"/>
              <w:rPr>
                <w:rFonts w:hint="eastAsia" w:ascii="仿宋_GB2312" w:hAnsi="仿宋_GB2312" w:eastAsia="仿宋_GB2312" w:cs="仿宋_GB2312"/>
                <w:color w:val="auto"/>
                <w:sz w:val="20"/>
                <w:szCs w:val="20"/>
                <w:lang w:val="en-US" w:eastAsia="zh-CN"/>
              </w:rPr>
            </w:pPr>
          </w:p>
        </w:tc>
        <w:tc>
          <w:tcPr>
            <w:tcW w:w="3108" w:type="dx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0"/>
                <w:szCs w:val="20"/>
                <w:u w:val="none"/>
                <w:lang w:val="en-US" w:eastAsia="zh-CN" w:bidi="ar"/>
              </w:rPr>
            </w:pPr>
            <w:r>
              <w:rPr>
                <w:rFonts w:hint="eastAsia" w:ascii="仿宋_GB2312" w:hAnsi="仿宋_GB2312" w:eastAsia="仿宋_GB2312" w:cs="仿宋_GB2312"/>
                <w:i w:val="0"/>
                <w:iCs w:val="0"/>
                <w:color w:val="auto"/>
                <w:kern w:val="0"/>
                <w:sz w:val="20"/>
                <w:szCs w:val="20"/>
                <w:u w:val="none"/>
                <w:lang w:val="en-US" w:eastAsia="zh-CN" w:bidi="ar"/>
              </w:rPr>
              <w:t>对超出聘用单位业务范围开展执业活动的行政处罚</w:t>
            </w:r>
          </w:p>
        </w:tc>
        <w:tc>
          <w:tcPr>
            <w:tcW w:w="1286" w:type="dxa"/>
            <w:vAlign w:val="center"/>
          </w:tcPr>
          <w:p>
            <w:pPr>
              <w:numPr>
                <w:ilvl w:val="0"/>
                <w:numId w:val="2"/>
              </w:numPr>
              <w:spacing w:line="240" w:lineRule="exact"/>
              <w:ind w:left="425" w:leftChars="0" w:hanging="425" w:firstLineChars="0"/>
              <w:rPr>
                <w:rFonts w:hint="eastAsia" w:ascii="仿宋_GB2312" w:hAnsi="仿宋_GB2312" w:eastAsia="仿宋_GB2312" w:cs="仿宋_GB2312"/>
                <w:color w:val="auto"/>
                <w:sz w:val="20"/>
                <w:szCs w:val="20"/>
              </w:rPr>
            </w:pPr>
          </w:p>
        </w:tc>
        <w:tc>
          <w:tcPr>
            <w:tcW w:w="4253" w:type="dxa"/>
            <w:vAlign w:val="center"/>
          </w:tcPr>
          <w:p>
            <w:pPr>
              <w:keepNext w:val="0"/>
              <w:keepLines w:val="0"/>
              <w:widowControl/>
              <w:suppressLineNumbers w:val="0"/>
              <w:jc w:val="left"/>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《注册消防工程师管理规定》第五十五条第三项 超出本人执业范围或者聘用单位业务范围开展执业活动的，责令改正，处一万元以上二万元以下罚款。</w:t>
            </w:r>
          </w:p>
        </w:tc>
        <w:tc>
          <w:tcPr>
            <w:tcW w:w="2126" w:type="dxa"/>
            <w:vAlign w:val="center"/>
          </w:tcPr>
          <w:p>
            <w:pPr>
              <w:numPr>
                <w:ilvl w:val="0"/>
                <w:numId w:val="3"/>
              </w:numPr>
              <w:spacing w:line="240" w:lineRule="exact"/>
              <w:ind w:left="425" w:leftChars="0" w:hanging="425" w:firstLineChars="0"/>
              <w:rPr>
                <w:rFonts w:hint="eastAsia" w:ascii="仿宋_GB2312" w:hAnsi="仿宋_GB2312" w:eastAsia="仿宋_GB2312" w:cs="仿宋_GB2312"/>
                <w:color w:val="auto"/>
                <w:sz w:val="20"/>
                <w:szCs w:val="20"/>
              </w:rPr>
            </w:pPr>
          </w:p>
        </w:tc>
        <w:tc>
          <w:tcPr>
            <w:tcW w:w="992" w:type="dxa"/>
            <w:vAlign w:val="center"/>
          </w:tcPr>
          <w:p>
            <w:pPr>
              <w:numPr>
                <w:ilvl w:val="0"/>
                <w:numId w:val="4"/>
              </w:numPr>
              <w:spacing w:line="240" w:lineRule="exact"/>
              <w:ind w:left="425" w:leftChars="0" w:hanging="425" w:firstLineChars="0"/>
              <w:rPr>
                <w:rFonts w:hint="eastAsia" w:ascii="仿宋_GB2312" w:hAnsi="仿宋_GB2312" w:eastAsia="仿宋_GB2312" w:cs="仿宋_GB2312"/>
                <w:color w:val="auto"/>
                <w:sz w:val="20"/>
                <w:szCs w:val="20"/>
              </w:rPr>
            </w:pPr>
          </w:p>
        </w:tc>
        <w:tc>
          <w:tcPr>
            <w:tcW w:w="1010" w:type="dxa"/>
            <w:vAlign w:val="center"/>
          </w:tcPr>
          <w:p>
            <w:pPr>
              <w:spacing w:line="240" w:lineRule="exact"/>
              <w:rPr>
                <w:rFonts w:hint="eastAsia" w:ascii="仿宋_GB2312" w:hAnsi="仿宋_GB2312" w:eastAsia="仿宋_GB2312" w:cs="仿宋_GB2312"/>
                <w:color w:val="auto"/>
                <w:sz w:val="20"/>
                <w:szCs w:val="20"/>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55" w:hRule="atLeast"/>
          <w:jc w:val="center"/>
        </w:trPr>
        <w:tc>
          <w:tcPr>
            <w:tcW w:w="758" w:type="dxa"/>
            <w:vAlign w:val="center"/>
          </w:tcPr>
          <w:p>
            <w:pPr>
              <w:numPr>
                <w:ilvl w:val="0"/>
                <w:numId w:val="1"/>
              </w:numPr>
              <w:spacing w:line="240" w:lineRule="exact"/>
              <w:ind w:left="425" w:leftChars="0" w:hanging="425" w:firstLineChars="0"/>
              <w:jc w:val="center"/>
              <w:rPr>
                <w:rFonts w:hint="eastAsia" w:ascii="仿宋_GB2312" w:hAnsi="仿宋_GB2312" w:eastAsia="仿宋_GB2312" w:cs="仿宋_GB2312"/>
                <w:color w:val="auto"/>
                <w:sz w:val="20"/>
                <w:szCs w:val="20"/>
                <w:lang w:val="en-US" w:eastAsia="zh-CN"/>
              </w:rPr>
            </w:pPr>
          </w:p>
        </w:tc>
        <w:tc>
          <w:tcPr>
            <w:tcW w:w="3108" w:type="dx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0"/>
                <w:szCs w:val="20"/>
                <w:u w:val="none"/>
                <w:lang w:val="en-US" w:eastAsia="zh-CN" w:bidi="ar"/>
              </w:rPr>
            </w:pPr>
            <w:r>
              <w:rPr>
                <w:rFonts w:hint="eastAsia" w:ascii="仿宋_GB2312" w:hAnsi="仿宋_GB2312" w:eastAsia="仿宋_GB2312" w:cs="仿宋_GB2312"/>
                <w:i w:val="0"/>
                <w:iCs w:val="0"/>
                <w:color w:val="auto"/>
                <w:kern w:val="0"/>
                <w:sz w:val="20"/>
                <w:szCs w:val="20"/>
                <w:u w:val="none"/>
                <w:lang w:val="en-US" w:eastAsia="zh-CN" w:bidi="ar"/>
              </w:rPr>
              <w:t>对人员密集场所使用不符合市场准入的消防产品逾期未改的行政处罚</w:t>
            </w:r>
          </w:p>
        </w:tc>
        <w:tc>
          <w:tcPr>
            <w:tcW w:w="1286" w:type="dxa"/>
            <w:vAlign w:val="center"/>
          </w:tcPr>
          <w:p>
            <w:pPr>
              <w:numPr>
                <w:ilvl w:val="0"/>
                <w:numId w:val="2"/>
              </w:numPr>
              <w:spacing w:line="240" w:lineRule="exact"/>
              <w:ind w:left="425" w:leftChars="0" w:hanging="425" w:firstLineChars="0"/>
              <w:rPr>
                <w:rFonts w:hint="eastAsia" w:ascii="仿宋_GB2312" w:hAnsi="仿宋_GB2312" w:eastAsia="仿宋_GB2312" w:cs="仿宋_GB2312"/>
                <w:color w:val="auto"/>
                <w:sz w:val="20"/>
                <w:szCs w:val="20"/>
              </w:rPr>
            </w:pPr>
          </w:p>
        </w:tc>
        <w:tc>
          <w:tcPr>
            <w:tcW w:w="4253" w:type="dxa"/>
            <w:vAlign w:val="center"/>
          </w:tcPr>
          <w:p>
            <w:pPr>
              <w:keepNext w:val="0"/>
              <w:keepLines w:val="0"/>
              <w:widowControl/>
              <w:suppressLineNumbers w:val="0"/>
              <w:jc w:val="left"/>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《消防产品监督管理规定》第三十六条第一款 人员密集场所使用不符合市场准入的消防产品的，由消防救援机构责令限期改正；逾期不改正的，依照《中华人民共和国消防法》第六十五条第二款处罚。《中华人民共和国消防法》第六十五条第二款 人员密集场所使用不合格的消防产品或者国家明令淘汰的消防产品的,责令限期改正;逾期不改正的,处五千元以上五万元以下罚款,并对其直接负责的主管人员和其他直接责任人员处五百元以上二千元以下罚款;情节严重的,责令停产停业。                                                                       《江苏省消防条例》第八十条 建设工程有关单位违反本条例规定使用不合格消防产品、国家明令淘汰的消防产品或者防火性能不符合消防安全要求的建筑构件、建筑材料、室内装修装饰材料的，由相关监督管理部门根据职责责令限期改正；逾期不改正的，责令停止施工、停止使用，对单位处五千元以上五万元以下罚款，并对直接负责的主管人员和其他直接责任人员处五百元以上二千元以下罚款。</w:t>
            </w:r>
          </w:p>
        </w:tc>
        <w:tc>
          <w:tcPr>
            <w:tcW w:w="2126" w:type="dxa"/>
            <w:vAlign w:val="center"/>
          </w:tcPr>
          <w:p>
            <w:pPr>
              <w:numPr>
                <w:ilvl w:val="0"/>
                <w:numId w:val="3"/>
              </w:numPr>
              <w:spacing w:line="240" w:lineRule="exact"/>
              <w:ind w:left="425" w:leftChars="0" w:hanging="425" w:firstLineChars="0"/>
              <w:rPr>
                <w:rFonts w:hint="eastAsia" w:ascii="仿宋_GB2312" w:hAnsi="仿宋_GB2312" w:eastAsia="仿宋_GB2312" w:cs="仿宋_GB2312"/>
                <w:color w:val="auto"/>
                <w:sz w:val="20"/>
                <w:szCs w:val="20"/>
              </w:rPr>
            </w:pPr>
          </w:p>
        </w:tc>
        <w:tc>
          <w:tcPr>
            <w:tcW w:w="992" w:type="dxa"/>
            <w:vAlign w:val="center"/>
          </w:tcPr>
          <w:p>
            <w:pPr>
              <w:numPr>
                <w:ilvl w:val="0"/>
                <w:numId w:val="4"/>
              </w:numPr>
              <w:spacing w:line="240" w:lineRule="exact"/>
              <w:ind w:left="425" w:leftChars="0" w:hanging="425" w:firstLineChars="0"/>
              <w:rPr>
                <w:rFonts w:hint="eastAsia" w:ascii="仿宋_GB2312" w:hAnsi="仿宋_GB2312" w:eastAsia="仿宋_GB2312" w:cs="仿宋_GB2312"/>
                <w:color w:val="auto"/>
                <w:sz w:val="20"/>
                <w:szCs w:val="20"/>
              </w:rPr>
            </w:pPr>
          </w:p>
        </w:tc>
        <w:tc>
          <w:tcPr>
            <w:tcW w:w="1010" w:type="dxa"/>
            <w:vAlign w:val="center"/>
          </w:tcPr>
          <w:p>
            <w:pPr>
              <w:spacing w:line="240" w:lineRule="exact"/>
              <w:rPr>
                <w:rFonts w:hint="eastAsia" w:ascii="仿宋_GB2312" w:hAnsi="仿宋_GB2312" w:eastAsia="仿宋_GB2312" w:cs="仿宋_GB2312"/>
                <w:color w:val="auto"/>
                <w:sz w:val="20"/>
                <w:szCs w:val="20"/>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55" w:hRule="atLeast"/>
          <w:jc w:val="center"/>
        </w:trPr>
        <w:tc>
          <w:tcPr>
            <w:tcW w:w="758" w:type="dxa"/>
            <w:vAlign w:val="center"/>
          </w:tcPr>
          <w:p>
            <w:pPr>
              <w:numPr>
                <w:ilvl w:val="0"/>
                <w:numId w:val="1"/>
              </w:numPr>
              <w:spacing w:line="240" w:lineRule="exact"/>
              <w:ind w:left="425" w:leftChars="0" w:hanging="425" w:firstLineChars="0"/>
              <w:jc w:val="center"/>
              <w:rPr>
                <w:rFonts w:hint="eastAsia" w:ascii="仿宋_GB2312" w:hAnsi="仿宋_GB2312" w:eastAsia="仿宋_GB2312" w:cs="仿宋_GB2312"/>
                <w:color w:val="auto"/>
                <w:sz w:val="20"/>
                <w:szCs w:val="20"/>
                <w:lang w:val="en-US" w:eastAsia="zh-CN"/>
              </w:rPr>
            </w:pPr>
          </w:p>
        </w:tc>
        <w:tc>
          <w:tcPr>
            <w:tcW w:w="3108" w:type="dx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0"/>
                <w:szCs w:val="20"/>
                <w:u w:val="none"/>
                <w:lang w:val="en-US" w:eastAsia="zh-CN" w:bidi="ar"/>
              </w:rPr>
            </w:pPr>
            <w:r>
              <w:rPr>
                <w:rFonts w:hint="eastAsia" w:ascii="仿宋_GB2312" w:hAnsi="仿宋_GB2312" w:eastAsia="仿宋_GB2312" w:cs="仿宋_GB2312"/>
                <w:i w:val="0"/>
                <w:iCs w:val="0"/>
                <w:color w:val="auto"/>
                <w:kern w:val="0"/>
                <w:sz w:val="20"/>
                <w:szCs w:val="20"/>
                <w:u w:val="none"/>
                <w:lang w:val="en-US" w:eastAsia="zh-CN" w:bidi="ar"/>
              </w:rPr>
              <w:t>对非人员密集场所使用不符合市场准入、不合格、国家明令淘汰的消防产品逾期未改的行政处罚</w:t>
            </w:r>
          </w:p>
        </w:tc>
        <w:tc>
          <w:tcPr>
            <w:tcW w:w="1286" w:type="dxa"/>
            <w:vAlign w:val="center"/>
          </w:tcPr>
          <w:p>
            <w:pPr>
              <w:numPr>
                <w:ilvl w:val="0"/>
                <w:numId w:val="2"/>
              </w:numPr>
              <w:spacing w:line="240" w:lineRule="exact"/>
              <w:ind w:left="425" w:leftChars="0" w:hanging="425" w:firstLineChars="0"/>
              <w:rPr>
                <w:rFonts w:hint="eastAsia" w:ascii="仿宋_GB2312" w:hAnsi="仿宋_GB2312" w:eastAsia="仿宋_GB2312" w:cs="仿宋_GB2312"/>
                <w:color w:val="auto"/>
                <w:sz w:val="20"/>
                <w:szCs w:val="20"/>
              </w:rPr>
            </w:pPr>
          </w:p>
        </w:tc>
        <w:tc>
          <w:tcPr>
            <w:tcW w:w="4253" w:type="dxa"/>
            <w:vAlign w:val="center"/>
          </w:tcPr>
          <w:p>
            <w:pPr>
              <w:keepNext w:val="0"/>
              <w:keepLines w:val="0"/>
              <w:widowControl/>
              <w:suppressLineNumbers w:val="0"/>
              <w:jc w:val="left"/>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《消防产品监督管理规定》第三十六条第二款 非人员密集场所使用不符合市场准入的消防产品、不合格的消防产品或者国家明令淘汰的消防产品的，由消防救援机构责令限期改正；逾期不改正的，对非经营性场所处五百元以上一千元以下罚款，对经营性场所处五千元以上一万元以下罚款，并对直接负责的主管人员和其他直接责任人员处五百元以下罚款。                                                                                                         《江苏省消防条例》第八十条 建设工程有关单位违反本条例规定使用不合格消防产品、国家明令淘汰的消防产品或者防火性能不符合消防安全要求的建筑构件、建筑材料、室内装修装饰材料的，由相关监督管理部门根据职责责令限期改正；逾期不改正的，责令停止施工、停止使用，对单位处五千元以上五万元以下罚款，并对直接负责的主管人员和其他直接责任人员处五百元以上二千元以下罚款。</w:t>
            </w:r>
          </w:p>
        </w:tc>
        <w:tc>
          <w:tcPr>
            <w:tcW w:w="2126" w:type="dxa"/>
            <w:vAlign w:val="center"/>
          </w:tcPr>
          <w:p>
            <w:pPr>
              <w:numPr>
                <w:ilvl w:val="0"/>
                <w:numId w:val="3"/>
              </w:numPr>
              <w:spacing w:line="240" w:lineRule="exact"/>
              <w:ind w:left="425" w:leftChars="0" w:hanging="425" w:firstLineChars="0"/>
              <w:rPr>
                <w:rFonts w:hint="eastAsia" w:ascii="仿宋_GB2312" w:hAnsi="仿宋_GB2312" w:eastAsia="仿宋_GB2312" w:cs="仿宋_GB2312"/>
                <w:color w:val="auto"/>
                <w:sz w:val="20"/>
                <w:szCs w:val="20"/>
              </w:rPr>
            </w:pPr>
          </w:p>
        </w:tc>
        <w:tc>
          <w:tcPr>
            <w:tcW w:w="992" w:type="dxa"/>
            <w:vAlign w:val="center"/>
          </w:tcPr>
          <w:p>
            <w:pPr>
              <w:numPr>
                <w:ilvl w:val="0"/>
                <w:numId w:val="4"/>
              </w:numPr>
              <w:spacing w:line="240" w:lineRule="exact"/>
              <w:ind w:left="425" w:leftChars="0" w:hanging="425" w:firstLineChars="0"/>
              <w:rPr>
                <w:rFonts w:hint="eastAsia" w:ascii="仿宋_GB2312" w:hAnsi="仿宋_GB2312" w:eastAsia="仿宋_GB2312" w:cs="仿宋_GB2312"/>
                <w:color w:val="auto"/>
                <w:sz w:val="20"/>
                <w:szCs w:val="20"/>
              </w:rPr>
            </w:pPr>
          </w:p>
        </w:tc>
        <w:tc>
          <w:tcPr>
            <w:tcW w:w="1010" w:type="dxa"/>
            <w:vAlign w:val="center"/>
          </w:tcPr>
          <w:p>
            <w:pPr>
              <w:spacing w:line="240" w:lineRule="exact"/>
              <w:rPr>
                <w:rFonts w:hint="eastAsia" w:ascii="仿宋_GB2312" w:hAnsi="仿宋_GB2312" w:eastAsia="仿宋_GB2312" w:cs="仿宋_GB2312"/>
                <w:color w:val="auto"/>
                <w:sz w:val="20"/>
                <w:szCs w:val="20"/>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55" w:hRule="atLeast"/>
          <w:jc w:val="center"/>
        </w:trPr>
        <w:tc>
          <w:tcPr>
            <w:tcW w:w="758" w:type="dxa"/>
            <w:vAlign w:val="center"/>
          </w:tcPr>
          <w:p>
            <w:pPr>
              <w:numPr>
                <w:ilvl w:val="0"/>
                <w:numId w:val="1"/>
              </w:numPr>
              <w:spacing w:line="240" w:lineRule="exact"/>
              <w:ind w:left="425" w:leftChars="0" w:hanging="425" w:firstLineChars="0"/>
              <w:jc w:val="center"/>
              <w:rPr>
                <w:rFonts w:hint="eastAsia" w:ascii="仿宋_GB2312" w:hAnsi="仿宋_GB2312" w:eastAsia="仿宋_GB2312" w:cs="仿宋_GB2312"/>
                <w:color w:val="auto"/>
                <w:sz w:val="20"/>
                <w:szCs w:val="20"/>
                <w:lang w:val="en-US" w:eastAsia="zh-CN"/>
              </w:rPr>
            </w:pPr>
          </w:p>
        </w:tc>
        <w:tc>
          <w:tcPr>
            <w:tcW w:w="3108" w:type="dx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0"/>
                <w:szCs w:val="20"/>
                <w:u w:val="none"/>
                <w:lang w:val="en-US" w:eastAsia="zh-CN" w:bidi="ar"/>
              </w:rPr>
            </w:pPr>
            <w:r>
              <w:rPr>
                <w:rFonts w:hint="eastAsia" w:ascii="仿宋_GB2312" w:hAnsi="仿宋_GB2312" w:eastAsia="仿宋_GB2312" w:cs="仿宋_GB2312"/>
                <w:i w:val="0"/>
                <w:iCs w:val="0"/>
                <w:color w:val="auto"/>
                <w:kern w:val="0"/>
                <w:sz w:val="20"/>
                <w:szCs w:val="20"/>
                <w:u w:val="none"/>
                <w:lang w:val="en-US" w:eastAsia="zh-CN" w:bidi="ar"/>
              </w:rPr>
              <w:t>对未按照规定履行消防安全职责，发生火灾事故的行政处罚</w:t>
            </w:r>
          </w:p>
        </w:tc>
        <w:tc>
          <w:tcPr>
            <w:tcW w:w="1286" w:type="dxa"/>
            <w:vAlign w:val="center"/>
          </w:tcPr>
          <w:p>
            <w:pPr>
              <w:numPr>
                <w:ilvl w:val="0"/>
                <w:numId w:val="2"/>
              </w:numPr>
              <w:spacing w:line="240" w:lineRule="exact"/>
              <w:ind w:left="425" w:leftChars="0" w:hanging="425" w:firstLineChars="0"/>
              <w:rPr>
                <w:rFonts w:hint="eastAsia" w:ascii="仿宋_GB2312" w:hAnsi="仿宋_GB2312" w:eastAsia="仿宋_GB2312" w:cs="仿宋_GB2312"/>
                <w:color w:val="auto"/>
                <w:sz w:val="20"/>
                <w:szCs w:val="20"/>
              </w:rPr>
            </w:pPr>
          </w:p>
        </w:tc>
        <w:tc>
          <w:tcPr>
            <w:tcW w:w="4253" w:type="dxa"/>
            <w:vAlign w:val="center"/>
          </w:tcPr>
          <w:p>
            <w:pPr>
              <w:keepNext w:val="0"/>
              <w:keepLines w:val="0"/>
              <w:widowControl/>
              <w:suppressLineNumbers w:val="0"/>
              <w:jc w:val="left"/>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《江苏省消防条例》第七十七条 机关、团体、企业、事业等单位未按照规定履行消防安全职责，发生火灾事故的，由消防救援机构处一万元以上十万元以下罚款，并对直接负责的主管人员和其他直接责任人员处一千元以上三千元以下罚款。</w:t>
            </w:r>
          </w:p>
        </w:tc>
        <w:tc>
          <w:tcPr>
            <w:tcW w:w="2126" w:type="dxa"/>
            <w:vAlign w:val="center"/>
          </w:tcPr>
          <w:p>
            <w:pPr>
              <w:numPr>
                <w:ilvl w:val="0"/>
                <w:numId w:val="3"/>
              </w:numPr>
              <w:spacing w:line="240" w:lineRule="exact"/>
              <w:ind w:left="425" w:leftChars="0" w:hanging="425" w:firstLineChars="0"/>
              <w:rPr>
                <w:rFonts w:hint="eastAsia" w:ascii="仿宋_GB2312" w:hAnsi="仿宋_GB2312" w:eastAsia="仿宋_GB2312" w:cs="仿宋_GB2312"/>
                <w:color w:val="auto"/>
                <w:sz w:val="20"/>
                <w:szCs w:val="20"/>
              </w:rPr>
            </w:pPr>
          </w:p>
        </w:tc>
        <w:tc>
          <w:tcPr>
            <w:tcW w:w="992" w:type="dxa"/>
            <w:vAlign w:val="center"/>
          </w:tcPr>
          <w:p>
            <w:pPr>
              <w:numPr>
                <w:ilvl w:val="0"/>
                <w:numId w:val="4"/>
              </w:numPr>
              <w:spacing w:line="240" w:lineRule="exact"/>
              <w:ind w:left="425" w:leftChars="0" w:hanging="425" w:firstLineChars="0"/>
              <w:rPr>
                <w:rFonts w:hint="eastAsia" w:ascii="仿宋_GB2312" w:hAnsi="仿宋_GB2312" w:eastAsia="仿宋_GB2312" w:cs="仿宋_GB2312"/>
                <w:color w:val="auto"/>
                <w:sz w:val="20"/>
                <w:szCs w:val="20"/>
              </w:rPr>
            </w:pPr>
          </w:p>
        </w:tc>
        <w:tc>
          <w:tcPr>
            <w:tcW w:w="1010" w:type="dxa"/>
            <w:vAlign w:val="center"/>
          </w:tcPr>
          <w:p>
            <w:pPr>
              <w:spacing w:line="240" w:lineRule="exact"/>
              <w:rPr>
                <w:rFonts w:hint="eastAsia" w:ascii="仿宋_GB2312" w:hAnsi="仿宋_GB2312" w:eastAsia="仿宋_GB2312" w:cs="仿宋_GB2312"/>
                <w:color w:val="auto"/>
                <w:sz w:val="20"/>
                <w:szCs w:val="20"/>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55" w:hRule="atLeast"/>
          <w:jc w:val="center"/>
        </w:trPr>
        <w:tc>
          <w:tcPr>
            <w:tcW w:w="758" w:type="dxa"/>
            <w:vAlign w:val="center"/>
          </w:tcPr>
          <w:p>
            <w:pPr>
              <w:numPr>
                <w:ilvl w:val="0"/>
                <w:numId w:val="1"/>
              </w:numPr>
              <w:spacing w:line="240" w:lineRule="exact"/>
              <w:ind w:left="425" w:leftChars="0" w:hanging="425" w:firstLineChars="0"/>
              <w:jc w:val="center"/>
              <w:rPr>
                <w:rFonts w:hint="eastAsia" w:ascii="仿宋_GB2312" w:hAnsi="仿宋_GB2312" w:eastAsia="仿宋_GB2312" w:cs="仿宋_GB2312"/>
                <w:color w:val="auto"/>
                <w:sz w:val="20"/>
                <w:szCs w:val="20"/>
                <w:lang w:val="en-US" w:eastAsia="zh-CN"/>
              </w:rPr>
            </w:pPr>
          </w:p>
        </w:tc>
        <w:tc>
          <w:tcPr>
            <w:tcW w:w="3108" w:type="dxa"/>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0"/>
                <w:szCs w:val="20"/>
                <w:u w:val="none"/>
                <w:lang w:val="en-US" w:eastAsia="zh-CN" w:bidi="ar"/>
              </w:rPr>
            </w:pPr>
            <w:r>
              <w:rPr>
                <w:rFonts w:hint="eastAsia" w:ascii="仿宋_GB2312" w:hAnsi="仿宋_GB2312" w:eastAsia="仿宋_GB2312" w:cs="仿宋_GB2312"/>
                <w:i w:val="0"/>
                <w:iCs w:val="0"/>
                <w:color w:val="auto"/>
                <w:kern w:val="0"/>
                <w:sz w:val="20"/>
                <w:szCs w:val="20"/>
                <w:u w:val="none"/>
                <w:lang w:val="en-US" w:eastAsia="zh-CN" w:bidi="ar"/>
              </w:rPr>
              <w:t>对未依法建立单位专职消防队或者建立的专职消防队不符合标准逾期未改的行政处罚</w:t>
            </w:r>
          </w:p>
        </w:tc>
        <w:tc>
          <w:tcPr>
            <w:tcW w:w="1286" w:type="dxa"/>
            <w:vAlign w:val="center"/>
          </w:tcPr>
          <w:p>
            <w:pPr>
              <w:numPr>
                <w:ilvl w:val="0"/>
                <w:numId w:val="2"/>
              </w:numPr>
              <w:spacing w:line="240" w:lineRule="exact"/>
              <w:ind w:left="425" w:leftChars="0" w:hanging="425" w:firstLineChars="0"/>
              <w:rPr>
                <w:rFonts w:hint="eastAsia" w:ascii="仿宋_GB2312" w:hAnsi="仿宋_GB2312" w:eastAsia="仿宋_GB2312" w:cs="仿宋_GB2312"/>
                <w:color w:val="auto"/>
                <w:sz w:val="20"/>
                <w:szCs w:val="20"/>
              </w:rPr>
            </w:pPr>
          </w:p>
        </w:tc>
        <w:tc>
          <w:tcPr>
            <w:tcW w:w="4253" w:type="dxa"/>
            <w:vAlign w:val="center"/>
          </w:tcPr>
          <w:p>
            <w:pPr>
              <w:keepNext w:val="0"/>
              <w:keepLines w:val="0"/>
              <w:widowControl/>
              <w:suppressLineNumbers w:val="0"/>
              <w:jc w:val="left"/>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《江苏省消防条例》第七十九条 未依法建立单位专职消防队或者建立的专职消防队不符合标准的，由消防救援机构责令限期改正；逾期不改正的，处一万元以上十万元以下罚款。</w:t>
            </w:r>
          </w:p>
        </w:tc>
        <w:tc>
          <w:tcPr>
            <w:tcW w:w="2126" w:type="dxa"/>
            <w:vAlign w:val="center"/>
          </w:tcPr>
          <w:p>
            <w:pPr>
              <w:numPr>
                <w:ilvl w:val="0"/>
                <w:numId w:val="3"/>
              </w:numPr>
              <w:spacing w:line="240" w:lineRule="exact"/>
              <w:ind w:left="425" w:leftChars="0" w:hanging="425" w:firstLineChars="0"/>
              <w:rPr>
                <w:rFonts w:hint="eastAsia" w:ascii="仿宋_GB2312" w:hAnsi="仿宋_GB2312" w:eastAsia="仿宋_GB2312" w:cs="仿宋_GB2312"/>
                <w:color w:val="auto"/>
                <w:sz w:val="20"/>
                <w:szCs w:val="20"/>
              </w:rPr>
            </w:pPr>
          </w:p>
        </w:tc>
        <w:tc>
          <w:tcPr>
            <w:tcW w:w="992" w:type="dxa"/>
            <w:vAlign w:val="center"/>
          </w:tcPr>
          <w:p>
            <w:pPr>
              <w:numPr>
                <w:ilvl w:val="0"/>
                <w:numId w:val="4"/>
              </w:numPr>
              <w:spacing w:line="240" w:lineRule="exact"/>
              <w:ind w:left="425" w:leftChars="0" w:hanging="425" w:firstLineChars="0"/>
              <w:rPr>
                <w:rFonts w:hint="eastAsia" w:ascii="仿宋_GB2312" w:hAnsi="仿宋_GB2312" w:eastAsia="仿宋_GB2312" w:cs="仿宋_GB2312"/>
                <w:color w:val="auto"/>
                <w:sz w:val="20"/>
                <w:szCs w:val="20"/>
              </w:rPr>
            </w:pPr>
          </w:p>
        </w:tc>
        <w:tc>
          <w:tcPr>
            <w:tcW w:w="1010" w:type="dxa"/>
            <w:vAlign w:val="center"/>
          </w:tcPr>
          <w:p>
            <w:pPr>
              <w:spacing w:line="240" w:lineRule="exact"/>
              <w:rPr>
                <w:rFonts w:hint="eastAsia" w:ascii="仿宋_GB2312" w:hAnsi="仿宋_GB2312" w:eastAsia="仿宋_GB2312" w:cs="仿宋_GB2312"/>
                <w:color w:val="auto"/>
                <w:sz w:val="20"/>
                <w:szCs w:val="20"/>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55" w:hRule="atLeast"/>
          <w:jc w:val="center"/>
        </w:trPr>
        <w:tc>
          <w:tcPr>
            <w:tcW w:w="758" w:type="dxa"/>
            <w:vAlign w:val="center"/>
          </w:tcPr>
          <w:p>
            <w:pPr>
              <w:numPr>
                <w:ilvl w:val="0"/>
                <w:numId w:val="1"/>
              </w:numPr>
              <w:spacing w:line="240" w:lineRule="exact"/>
              <w:ind w:left="425" w:leftChars="0" w:hanging="425" w:firstLineChars="0"/>
              <w:jc w:val="center"/>
              <w:rPr>
                <w:rFonts w:hint="eastAsia" w:ascii="仿宋_GB2312" w:hAnsi="仿宋_GB2312" w:eastAsia="仿宋_GB2312" w:cs="仿宋_GB2312"/>
                <w:color w:val="auto"/>
                <w:sz w:val="20"/>
                <w:szCs w:val="20"/>
                <w:lang w:val="en-US" w:eastAsia="zh-CN"/>
              </w:rPr>
            </w:pPr>
          </w:p>
        </w:tc>
        <w:tc>
          <w:tcPr>
            <w:tcW w:w="3108" w:type="dxa"/>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0"/>
                <w:szCs w:val="20"/>
                <w:u w:val="none"/>
                <w:lang w:val="en-US" w:eastAsia="zh-CN" w:bidi="ar"/>
              </w:rPr>
            </w:pPr>
            <w:r>
              <w:rPr>
                <w:rFonts w:hint="eastAsia" w:ascii="仿宋_GB2312" w:hAnsi="仿宋_GB2312" w:eastAsia="仿宋_GB2312" w:cs="仿宋_GB2312"/>
                <w:i w:val="0"/>
                <w:iCs w:val="0"/>
                <w:color w:val="auto"/>
                <w:kern w:val="0"/>
                <w:sz w:val="20"/>
                <w:szCs w:val="20"/>
                <w:u w:val="none"/>
                <w:lang w:val="en-US" w:eastAsia="zh-CN" w:bidi="ar"/>
              </w:rPr>
              <w:t>对未按规定对建筑消防设施进行维护保养和检测的行政处罚</w:t>
            </w:r>
          </w:p>
        </w:tc>
        <w:tc>
          <w:tcPr>
            <w:tcW w:w="1286" w:type="dxa"/>
            <w:vAlign w:val="center"/>
          </w:tcPr>
          <w:p>
            <w:pPr>
              <w:numPr>
                <w:ilvl w:val="0"/>
                <w:numId w:val="2"/>
              </w:numPr>
              <w:spacing w:line="240" w:lineRule="exact"/>
              <w:ind w:left="425" w:leftChars="0" w:hanging="425" w:firstLineChars="0"/>
              <w:rPr>
                <w:rFonts w:hint="eastAsia" w:ascii="仿宋_GB2312" w:hAnsi="仿宋_GB2312" w:eastAsia="仿宋_GB2312" w:cs="仿宋_GB2312"/>
                <w:color w:val="auto"/>
                <w:sz w:val="20"/>
                <w:szCs w:val="20"/>
              </w:rPr>
            </w:pPr>
          </w:p>
        </w:tc>
        <w:tc>
          <w:tcPr>
            <w:tcW w:w="4253" w:type="dxa"/>
            <w:vAlign w:val="center"/>
          </w:tcPr>
          <w:p>
            <w:pPr>
              <w:keepNext w:val="0"/>
              <w:keepLines w:val="0"/>
              <w:widowControl/>
              <w:suppressLineNumbers w:val="0"/>
              <w:jc w:val="left"/>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《江苏省消防条例》第八十一条 机关、团体、企业、事业等单位未按照规定对消防设施进行维护保养和检测的，由消防救援机构责令限期改正，可以处一千元以上五千元以下罚款。</w:t>
            </w:r>
          </w:p>
        </w:tc>
        <w:tc>
          <w:tcPr>
            <w:tcW w:w="2126" w:type="dxa"/>
            <w:vAlign w:val="center"/>
          </w:tcPr>
          <w:p>
            <w:pPr>
              <w:numPr>
                <w:ilvl w:val="0"/>
                <w:numId w:val="3"/>
              </w:numPr>
              <w:spacing w:line="240" w:lineRule="exact"/>
              <w:ind w:left="425" w:leftChars="0" w:hanging="425" w:firstLineChars="0"/>
              <w:rPr>
                <w:rFonts w:hint="eastAsia" w:ascii="仿宋_GB2312" w:hAnsi="仿宋_GB2312" w:eastAsia="仿宋_GB2312" w:cs="仿宋_GB2312"/>
                <w:color w:val="auto"/>
                <w:sz w:val="20"/>
                <w:szCs w:val="20"/>
              </w:rPr>
            </w:pPr>
          </w:p>
        </w:tc>
        <w:tc>
          <w:tcPr>
            <w:tcW w:w="992" w:type="dxa"/>
            <w:vAlign w:val="center"/>
          </w:tcPr>
          <w:p>
            <w:pPr>
              <w:numPr>
                <w:ilvl w:val="0"/>
                <w:numId w:val="4"/>
              </w:numPr>
              <w:spacing w:line="240" w:lineRule="exact"/>
              <w:ind w:left="425" w:leftChars="0" w:hanging="425" w:firstLineChars="0"/>
              <w:rPr>
                <w:rFonts w:hint="eastAsia" w:ascii="仿宋_GB2312" w:hAnsi="仿宋_GB2312" w:eastAsia="仿宋_GB2312" w:cs="仿宋_GB2312"/>
                <w:color w:val="auto"/>
                <w:sz w:val="20"/>
                <w:szCs w:val="20"/>
              </w:rPr>
            </w:pPr>
          </w:p>
        </w:tc>
        <w:tc>
          <w:tcPr>
            <w:tcW w:w="1010" w:type="dxa"/>
            <w:vAlign w:val="center"/>
          </w:tcPr>
          <w:p>
            <w:pPr>
              <w:spacing w:line="240" w:lineRule="exact"/>
              <w:rPr>
                <w:rFonts w:hint="eastAsia" w:ascii="仿宋_GB2312" w:hAnsi="仿宋_GB2312" w:eastAsia="仿宋_GB2312" w:cs="仿宋_GB2312"/>
                <w:color w:val="auto"/>
                <w:sz w:val="20"/>
                <w:szCs w:val="20"/>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55" w:hRule="atLeast"/>
          <w:jc w:val="center"/>
        </w:trPr>
        <w:tc>
          <w:tcPr>
            <w:tcW w:w="758" w:type="dxa"/>
            <w:vAlign w:val="center"/>
          </w:tcPr>
          <w:p>
            <w:pPr>
              <w:numPr>
                <w:ilvl w:val="0"/>
                <w:numId w:val="1"/>
              </w:numPr>
              <w:spacing w:line="240" w:lineRule="exact"/>
              <w:ind w:left="425" w:leftChars="0" w:hanging="425" w:firstLineChars="0"/>
              <w:jc w:val="center"/>
              <w:rPr>
                <w:rFonts w:hint="eastAsia" w:ascii="仿宋_GB2312" w:hAnsi="仿宋_GB2312" w:eastAsia="仿宋_GB2312" w:cs="仿宋_GB2312"/>
                <w:color w:val="auto"/>
                <w:sz w:val="20"/>
                <w:szCs w:val="20"/>
                <w:lang w:val="en-US" w:eastAsia="zh-CN"/>
              </w:rPr>
            </w:pPr>
          </w:p>
        </w:tc>
        <w:tc>
          <w:tcPr>
            <w:tcW w:w="3108" w:type="dxa"/>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0"/>
                <w:szCs w:val="20"/>
                <w:u w:val="none"/>
                <w:lang w:val="en-US" w:eastAsia="zh-CN" w:bidi="ar"/>
              </w:rPr>
            </w:pPr>
            <w:r>
              <w:rPr>
                <w:rFonts w:hint="eastAsia" w:ascii="仿宋_GB2312" w:hAnsi="仿宋_GB2312" w:eastAsia="仿宋_GB2312" w:cs="仿宋_GB2312"/>
                <w:i w:val="0"/>
                <w:iCs w:val="0"/>
                <w:color w:val="auto"/>
                <w:kern w:val="0"/>
                <w:sz w:val="20"/>
                <w:szCs w:val="20"/>
                <w:u w:val="none"/>
                <w:lang w:val="en-US" w:eastAsia="zh-CN" w:bidi="ar"/>
              </w:rPr>
              <w:t>对未按规定落实消防控制室管理制度的行政处罚</w:t>
            </w:r>
          </w:p>
        </w:tc>
        <w:tc>
          <w:tcPr>
            <w:tcW w:w="1286" w:type="dxa"/>
            <w:vAlign w:val="center"/>
          </w:tcPr>
          <w:p>
            <w:pPr>
              <w:numPr>
                <w:ilvl w:val="0"/>
                <w:numId w:val="2"/>
              </w:numPr>
              <w:spacing w:line="240" w:lineRule="exact"/>
              <w:ind w:left="425" w:leftChars="0" w:hanging="425" w:firstLineChars="0"/>
              <w:rPr>
                <w:rFonts w:hint="eastAsia" w:ascii="仿宋_GB2312" w:hAnsi="仿宋_GB2312" w:eastAsia="仿宋_GB2312" w:cs="仿宋_GB2312"/>
                <w:color w:val="auto"/>
                <w:sz w:val="20"/>
                <w:szCs w:val="20"/>
              </w:rPr>
            </w:pPr>
          </w:p>
        </w:tc>
        <w:tc>
          <w:tcPr>
            <w:tcW w:w="4253" w:type="dxa"/>
            <w:vAlign w:val="center"/>
          </w:tcPr>
          <w:p>
            <w:pPr>
              <w:keepNext w:val="0"/>
              <w:keepLines w:val="0"/>
              <w:widowControl/>
              <w:suppressLineNumbers w:val="0"/>
              <w:jc w:val="left"/>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《江苏省消防条例》第八十一条 设置消防控制室的单位未按照规定落实消防控制室管理制度的，由消防救援机构责令改正，可以处一千元以上五千元以下罚款。</w:t>
            </w:r>
          </w:p>
        </w:tc>
        <w:tc>
          <w:tcPr>
            <w:tcW w:w="2126" w:type="dxa"/>
            <w:vAlign w:val="center"/>
          </w:tcPr>
          <w:p>
            <w:pPr>
              <w:numPr>
                <w:ilvl w:val="0"/>
                <w:numId w:val="3"/>
              </w:numPr>
              <w:spacing w:line="240" w:lineRule="exact"/>
              <w:ind w:left="425" w:leftChars="0" w:hanging="425" w:firstLineChars="0"/>
              <w:rPr>
                <w:rFonts w:hint="eastAsia" w:ascii="仿宋_GB2312" w:hAnsi="仿宋_GB2312" w:eastAsia="仿宋_GB2312" w:cs="仿宋_GB2312"/>
                <w:color w:val="auto"/>
                <w:sz w:val="20"/>
                <w:szCs w:val="20"/>
              </w:rPr>
            </w:pPr>
          </w:p>
        </w:tc>
        <w:tc>
          <w:tcPr>
            <w:tcW w:w="992" w:type="dxa"/>
            <w:vAlign w:val="center"/>
          </w:tcPr>
          <w:p>
            <w:pPr>
              <w:numPr>
                <w:ilvl w:val="0"/>
                <w:numId w:val="4"/>
              </w:numPr>
              <w:spacing w:line="240" w:lineRule="exact"/>
              <w:ind w:left="425" w:leftChars="0" w:hanging="425" w:firstLineChars="0"/>
              <w:rPr>
                <w:rFonts w:hint="eastAsia" w:ascii="仿宋_GB2312" w:hAnsi="仿宋_GB2312" w:eastAsia="仿宋_GB2312" w:cs="仿宋_GB2312"/>
                <w:color w:val="auto"/>
                <w:sz w:val="20"/>
                <w:szCs w:val="20"/>
              </w:rPr>
            </w:pPr>
          </w:p>
        </w:tc>
        <w:tc>
          <w:tcPr>
            <w:tcW w:w="1010" w:type="dxa"/>
            <w:vAlign w:val="center"/>
          </w:tcPr>
          <w:p>
            <w:pPr>
              <w:spacing w:line="240" w:lineRule="exact"/>
              <w:rPr>
                <w:rFonts w:hint="eastAsia" w:ascii="仿宋_GB2312" w:hAnsi="仿宋_GB2312" w:eastAsia="仿宋_GB2312" w:cs="仿宋_GB2312"/>
                <w:color w:val="auto"/>
                <w:sz w:val="20"/>
                <w:szCs w:val="20"/>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55" w:hRule="atLeast"/>
          <w:jc w:val="center"/>
        </w:trPr>
        <w:tc>
          <w:tcPr>
            <w:tcW w:w="758" w:type="dxa"/>
            <w:vAlign w:val="center"/>
          </w:tcPr>
          <w:p>
            <w:pPr>
              <w:numPr>
                <w:ilvl w:val="0"/>
                <w:numId w:val="1"/>
              </w:numPr>
              <w:spacing w:line="240" w:lineRule="exact"/>
              <w:ind w:left="425" w:leftChars="0" w:hanging="425" w:firstLineChars="0"/>
              <w:jc w:val="center"/>
              <w:rPr>
                <w:rFonts w:hint="eastAsia" w:ascii="仿宋_GB2312" w:hAnsi="仿宋_GB2312" w:eastAsia="仿宋_GB2312" w:cs="仿宋_GB2312"/>
                <w:color w:val="auto"/>
                <w:sz w:val="20"/>
                <w:szCs w:val="20"/>
                <w:lang w:val="en-US" w:eastAsia="zh-CN"/>
              </w:rPr>
            </w:pPr>
          </w:p>
        </w:tc>
        <w:tc>
          <w:tcPr>
            <w:tcW w:w="3108" w:type="dxa"/>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0"/>
                <w:szCs w:val="20"/>
                <w:u w:val="none"/>
                <w:lang w:val="en-US" w:eastAsia="zh-CN" w:bidi="ar"/>
              </w:rPr>
            </w:pPr>
            <w:r>
              <w:rPr>
                <w:rFonts w:hint="eastAsia" w:ascii="仿宋_GB2312" w:hAnsi="仿宋_GB2312" w:eastAsia="仿宋_GB2312" w:cs="仿宋_GB2312"/>
                <w:i w:val="0"/>
                <w:iCs w:val="0"/>
                <w:color w:val="auto"/>
                <w:kern w:val="0"/>
                <w:sz w:val="20"/>
                <w:szCs w:val="20"/>
                <w:u w:val="none"/>
                <w:lang w:val="en-US" w:eastAsia="zh-CN" w:bidi="ar"/>
              </w:rPr>
              <w:t>对建筑外立面装修、装饰、设置广告妨害防火、逃生和灭火救援逾期未改的行政处罚</w:t>
            </w:r>
          </w:p>
        </w:tc>
        <w:tc>
          <w:tcPr>
            <w:tcW w:w="1286" w:type="dxa"/>
            <w:vAlign w:val="center"/>
          </w:tcPr>
          <w:p>
            <w:pPr>
              <w:numPr>
                <w:ilvl w:val="0"/>
                <w:numId w:val="2"/>
              </w:numPr>
              <w:spacing w:line="240" w:lineRule="exact"/>
              <w:ind w:left="425" w:leftChars="0" w:hanging="425" w:firstLineChars="0"/>
              <w:rPr>
                <w:rFonts w:hint="eastAsia" w:ascii="仿宋_GB2312" w:hAnsi="仿宋_GB2312" w:eastAsia="仿宋_GB2312" w:cs="仿宋_GB2312"/>
                <w:color w:val="auto"/>
                <w:sz w:val="20"/>
                <w:szCs w:val="20"/>
              </w:rPr>
            </w:pPr>
          </w:p>
        </w:tc>
        <w:tc>
          <w:tcPr>
            <w:tcW w:w="4253" w:type="dxa"/>
            <w:vAlign w:val="center"/>
          </w:tcPr>
          <w:p>
            <w:pPr>
              <w:keepNext w:val="0"/>
              <w:keepLines w:val="0"/>
              <w:widowControl/>
              <w:suppressLineNumbers w:val="0"/>
              <w:jc w:val="left"/>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《江苏省消防条例》第八十二条 建筑物外立面装修、装饰、设置广告妨害防火、逃生和灭火救援的，由消防救援机构责令限期改正；逾期不改正的，处五千元以上五万元以下罚款。</w:t>
            </w:r>
          </w:p>
        </w:tc>
        <w:tc>
          <w:tcPr>
            <w:tcW w:w="2126" w:type="dxa"/>
            <w:vAlign w:val="center"/>
          </w:tcPr>
          <w:p>
            <w:pPr>
              <w:numPr>
                <w:ilvl w:val="0"/>
                <w:numId w:val="3"/>
              </w:numPr>
              <w:spacing w:line="240" w:lineRule="exact"/>
              <w:ind w:left="425" w:leftChars="0" w:hanging="425" w:firstLineChars="0"/>
              <w:rPr>
                <w:rFonts w:hint="eastAsia" w:ascii="仿宋_GB2312" w:hAnsi="仿宋_GB2312" w:eastAsia="仿宋_GB2312" w:cs="仿宋_GB2312"/>
                <w:color w:val="auto"/>
                <w:sz w:val="20"/>
                <w:szCs w:val="20"/>
              </w:rPr>
            </w:pPr>
          </w:p>
        </w:tc>
        <w:tc>
          <w:tcPr>
            <w:tcW w:w="992" w:type="dxa"/>
            <w:vAlign w:val="center"/>
          </w:tcPr>
          <w:p>
            <w:pPr>
              <w:numPr>
                <w:ilvl w:val="0"/>
                <w:numId w:val="4"/>
              </w:numPr>
              <w:spacing w:line="240" w:lineRule="exact"/>
              <w:ind w:left="425" w:leftChars="0" w:hanging="425" w:firstLineChars="0"/>
              <w:rPr>
                <w:rFonts w:hint="eastAsia" w:ascii="仿宋_GB2312" w:hAnsi="仿宋_GB2312" w:eastAsia="仿宋_GB2312" w:cs="仿宋_GB2312"/>
                <w:color w:val="auto"/>
                <w:sz w:val="20"/>
                <w:szCs w:val="20"/>
              </w:rPr>
            </w:pPr>
          </w:p>
        </w:tc>
        <w:tc>
          <w:tcPr>
            <w:tcW w:w="1010" w:type="dxa"/>
            <w:vAlign w:val="center"/>
          </w:tcPr>
          <w:p>
            <w:pPr>
              <w:spacing w:line="240" w:lineRule="exact"/>
              <w:rPr>
                <w:rFonts w:hint="eastAsia" w:ascii="仿宋_GB2312" w:hAnsi="仿宋_GB2312" w:eastAsia="仿宋_GB2312" w:cs="仿宋_GB2312"/>
                <w:color w:val="auto"/>
                <w:sz w:val="20"/>
                <w:szCs w:val="20"/>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55" w:hRule="atLeast"/>
          <w:jc w:val="center"/>
        </w:trPr>
        <w:tc>
          <w:tcPr>
            <w:tcW w:w="758" w:type="dxa"/>
            <w:vAlign w:val="center"/>
          </w:tcPr>
          <w:p>
            <w:pPr>
              <w:numPr>
                <w:ilvl w:val="0"/>
                <w:numId w:val="1"/>
              </w:numPr>
              <w:spacing w:line="240" w:lineRule="exact"/>
              <w:ind w:left="425" w:leftChars="0" w:hanging="425" w:firstLineChars="0"/>
              <w:jc w:val="center"/>
              <w:rPr>
                <w:rFonts w:hint="eastAsia" w:ascii="仿宋_GB2312" w:hAnsi="仿宋_GB2312" w:eastAsia="仿宋_GB2312" w:cs="仿宋_GB2312"/>
                <w:color w:val="auto"/>
                <w:sz w:val="20"/>
                <w:szCs w:val="20"/>
                <w:lang w:val="en-US" w:eastAsia="zh-CN"/>
              </w:rPr>
            </w:pPr>
          </w:p>
        </w:tc>
        <w:tc>
          <w:tcPr>
            <w:tcW w:w="3108" w:type="dxa"/>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0"/>
                <w:szCs w:val="20"/>
                <w:u w:val="none"/>
                <w:lang w:val="en-US" w:eastAsia="zh-CN" w:bidi="ar"/>
              </w:rPr>
            </w:pPr>
            <w:r>
              <w:rPr>
                <w:rFonts w:hint="eastAsia" w:ascii="仿宋_GB2312" w:hAnsi="仿宋_GB2312" w:eastAsia="仿宋_GB2312" w:cs="仿宋_GB2312"/>
                <w:i w:val="0"/>
                <w:iCs w:val="0"/>
                <w:color w:val="auto"/>
                <w:kern w:val="0"/>
                <w:sz w:val="20"/>
                <w:szCs w:val="20"/>
                <w:u w:val="none"/>
                <w:lang w:val="en-US" w:eastAsia="zh-CN" w:bidi="ar"/>
              </w:rPr>
              <w:t>对人员密集场所未按规定设置消防安全标识逾期未改的行政处罚</w:t>
            </w:r>
          </w:p>
        </w:tc>
        <w:tc>
          <w:tcPr>
            <w:tcW w:w="1286" w:type="dxa"/>
            <w:vAlign w:val="center"/>
          </w:tcPr>
          <w:p>
            <w:pPr>
              <w:numPr>
                <w:ilvl w:val="0"/>
                <w:numId w:val="2"/>
              </w:numPr>
              <w:spacing w:line="240" w:lineRule="exact"/>
              <w:ind w:left="425" w:leftChars="0" w:hanging="425" w:firstLineChars="0"/>
              <w:rPr>
                <w:rFonts w:hint="eastAsia" w:ascii="仿宋_GB2312" w:hAnsi="仿宋_GB2312" w:eastAsia="仿宋_GB2312" w:cs="仿宋_GB2312"/>
                <w:color w:val="auto"/>
                <w:sz w:val="20"/>
                <w:szCs w:val="20"/>
              </w:rPr>
            </w:pPr>
          </w:p>
        </w:tc>
        <w:tc>
          <w:tcPr>
            <w:tcW w:w="4253" w:type="dxa"/>
            <w:vAlign w:val="center"/>
          </w:tcPr>
          <w:p>
            <w:pPr>
              <w:keepNext w:val="0"/>
              <w:keepLines w:val="0"/>
              <w:widowControl/>
              <w:suppressLineNumbers w:val="0"/>
              <w:jc w:val="left"/>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《江苏省消防条例》第八十三条 人员密集场所未按照规定设置消防安全标识的，由消防救援机构责令限期改正；逾期不改正的，处一千元以上五千元以下罚款。</w:t>
            </w:r>
          </w:p>
        </w:tc>
        <w:tc>
          <w:tcPr>
            <w:tcW w:w="2126" w:type="dxa"/>
            <w:vAlign w:val="center"/>
          </w:tcPr>
          <w:p>
            <w:pPr>
              <w:numPr>
                <w:ilvl w:val="0"/>
                <w:numId w:val="3"/>
              </w:numPr>
              <w:spacing w:line="240" w:lineRule="exact"/>
              <w:ind w:left="425" w:leftChars="0" w:hanging="425" w:firstLineChars="0"/>
              <w:rPr>
                <w:rFonts w:hint="eastAsia" w:ascii="仿宋_GB2312" w:hAnsi="仿宋_GB2312" w:eastAsia="仿宋_GB2312" w:cs="仿宋_GB2312"/>
                <w:color w:val="auto"/>
                <w:sz w:val="20"/>
                <w:szCs w:val="20"/>
              </w:rPr>
            </w:pPr>
          </w:p>
        </w:tc>
        <w:tc>
          <w:tcPr>
            <w:tcW w:w="992" w:type="dxa"/>
            <w:vAlign w:val="center"/>
          </w:tcPr>
          <w:p>
            <w:pPr>
              <w:numPr>
                <w:ilvl w:val="0"/>
                <w:numId w:val="4"/>
              </w:numPr>
              <w:spacing w:line="240" w:lineRule="exact"/>
              <w:ind w:left="425" w:leftChars="0" w:hanging="425" w:firstLineChars="0"/>
              <w:rPr>
                <w:rFonts w:hint="eastAsia" w:ascii="仿宋_GB2312" w:hAnsi="仿宋_GB2312" w:eastAsia="仿宋_GB2312" w:cs="仿宋_GB2312"/>
                <w:color w:val="auto"/>
                <w:sz w:val="20"/>
                <w:szCs w:val="20"/>
              </w:rPr>
            </w:pPr>
          </w:p>
        </w:tc>
        <w:tc>
          <w:tcPr>
            <w:tcW w:w="1010" w:type="dxa"/>
            <w:vAlign w:val="center"/>
          </w:tcPr>
          <w:p>
            <w:pPr>
              <w:spacing w:line="240" w:lineRule="exact"/>
              <w:rPr>
                <w:rFonts w:hint="eastAsia" w:ascii="仿宋_GB2312" w:hAnsi="仿宋_GB2312" w:eastAsia="仿宋_GB2312" w:cs="仿宋_GB2312"/>
                <w:color w:val="auto"/>
                <w:sz w:val="20"/>
                <w:szCs w:val="20"/>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55" w:hRule="atLeast"/>
          <w:jc w:val="center"/>
        </w:trPr>
        <w:tc>
          <w:tcPr>
            <w:tcW w:w="758" w:type="dxa"/>
            <w:vAlign w:val="center"/>
          </w:tcPr>
          <w:p>
            <w:pPr>
              <w:numPr>
                <w:ilvl w:val="0"/>
                <w:numId w:val="1"/>
              </w:numPr>
              <w:spacing w:line="240" w:lineRule="exact"/>
              <w:ind w:left="425" w:leftChars="0" w:hanging="425" w:firstLineChars="0"/>
              <w:jc w:val="center"/>
              <w:rPr>
                <w:rFonts w:hint="eastAsia" w:ascii="仿宋_GB2312" w:hAnsi="仿宋_GB2312" w:eastAsia="仿宋_GB2312" w:cs="仿宋_GB2312"/>
                <w:color w:val="auto"/>
                <w:sz w:val="20"/>
                <w:szCs w:val="20"/>
                <w:lang w:val="en-US" w:eastAsia="zh-CN"/>
              </w:rPr>
            </w:pPr>
          </w:p>
        </w:tc>
        <w:tc>
          <w:tcPr>
            <w:tcW w:w="3108" w:type="dxa"/>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0"/>
                <w:szCs w:val="20"/>
                <w:u w:val="none"/>
                <w:lang w:val="en-US" w:eastAsia="zh-CN" w:bidi="ar"/>
              </w:rPr>
            </w:pPr>
            <w:r>
              <w:rPr>
                <w:rFonts w:hint="eastAsia" w:ascii="仿宋_GB2312" w:hAnsi="仿宋_GB2312" w:eastAsia="仿宋_GB2312" w:cs="仿宋_GB2312"/>
                <w:i w:val="0"/>
                <w:iCs w:val="0"/>
                <w:color w:val="auto"/>
                <w:kern w:val="0"/>
                <w:sz w:val="20"/>
                <w:szCs w:val="20"/>
                <w:u w:val="none"/>
                <w:lang w:val="en-US" w:eastAsia="zh-CN" w:bidi="ar"/>
              </w:rPr>
              <w:t>对人员密集场所的疏散通道、楼梯间及前室的门，未按照规定保持常闭，或者不能保证在火灾时自动关闭的行政处罚</w:t>
            </w:r>
          </w:p>
        </w:tc>
        <w:tc>
          <w:tcPr>
            <w:tcW w:w="1286" w:type="dxa"/>
            <w:vAlign w:val="center"/>
          </w:tcPr>
          <w:p>
            <w:pPr>
              <w:numPr>
                <w:ilvl w:val="0"/>
                <w:numId w:val="2"/>
              </w:numPr>
              <w:spacing w:line="240" w:lineRule="exact"/>
              <w:ind w:left="425" w:leftChars="0" w:hanging="425" w:firstLineChars="0"/>
              <w:rPr>
                <w:rFonts w:hint="eastAsia" w:ascii="仿宋_GB2312" w:hAnsi="仿宋_GB2312" w:eastAsia="仿宋_GB2312" w:cs="仿宋_GB2312"/>
                <w:color w:val="auto"/>
                <w:sz w:val="20"/>
                <w:szCs w:val="20"/>
              </w:rPr>
            </w:pPr>
          </w:p>
        </w:tc>
        <w:tc>
          <w:tcPr>
            <w:tcW w:w="4253" w:type="dxa"/>
            <w:vAlign w:val="center"/>
          </w:tcPr>
          <w:p>
            <w:pPr>
              <w:keepNext w:val="0"/>
              <w:keepLines w:val="0"/>
              <w:widowControl/>
              <w:suppressLineNumbers w:val="0"/>
              <w:jc w:val="left"/>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《江苏省消防条例》第八十三条 人员密集场所的疏散通道、楼梯间及前室的门，未按照规定保持常闭，或者不能保证在火灾时自动关闭的，由消防救援机构责令改正，处警告或者一千元以上二千元以下罚款。</w:t>
            </w:r>
          </w:p>
        </w:tc>
        <w:tc>
          <w:tcPr>
            <w:tcW w:w="2126" w:type="dxa"/>
            <w:vAlign w:val="center"/>
          </w:tcPr>
          <w:p>
            <w:pPr>
              <w:numPr>
                <w:ilvl w:val="0"/>
                <w:numId w:val="3"/>
              </w:numPr>
              <w:spacing w:line="240" w:lineRule="exact"/>
              <w:ind w:left="425" w:leftChars="0" w:hanging="425" w:firstLineChars="0"/>
              <w:rPr>
                <w:rFonts w:hint="eastAsia" w:ascii="仿宋_GB2312" w:hAnsi="仿宋_GB2312" w:eastAsia="仿宋_GB2312" w:cs="仿宋_GB2312"/>
                <w:color w:val="auto"/>
                <w:sz w:val="20"/>
                <w:szCs w:val="20"/>
              </w:rPr>
            </w:pPr>
          </w:p>
        </w:tc>
        <w:tc>
          <w:tcPr>
            <w:tcW w:w="992" w:type="dxa"/>
            <w:vAlign w:val="center"/>
          </w:tcPr>
          <w:p>
            <w:pPr>
              <w:numPr>
                <w:ilvl w:val="0"/>
                <w:numId w:val="4"/>
              </w:numPr>
              <w:spacing w:line="240" w:lineRule="exact"/>
              <w:ind w:left="425" w:leftChars="0" w:hanging="425" w:firstLineChars="0"/>
              <w:rPr>
                <w:rFonts w:hint="eastAsia" w:ascii="仿宋_GB2312" w:hAnsi="仿宋_GB2312" w:eastAsia="仿宋_GB2312" w:cs="仿宋_GB2312"/>
                <w:color w:val="auto"/>
                <w:sz w:val="20"/>
                <w:szCs w:val="20"/>
              </w:rPr>
            </w:pPr>
          </w:p>
        </w:tc>
        <w:tc>
          <w:tcPr>
            <w:tcW w:w="1010" w:type="dxa"/>
            <w:vAlign w:val="center"/>
          </w:tcPr>
          <w:p>
            <w:pPr>
              <w:spacing w:line="240" w:lineRule="exact"/>
              <w:rPr>
                <w:rFonts w:hint="eastAsia" w:ascii="仿宋_GB2312" w:hAnsi="仿宋_GB2312" w:eastAsia="仿宋_GB2312" w:cs="仿宋_GB2312"/>
                <w:color w:val="auto"/>
                <w:sz w:val="20"/>
                <w:szCs w:val="20"/>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55" w:hRule="atLeast"/>
          <w:jc w:val="center"/>
        </w:trPr>
        <w:tc>
          <w:tcPr>
            <w:tcW w:w="758" w:type="dxa"/>
            <w:vAlign w:val="center"/>
          </w:tcPr>
          <w:p>
            <w:pPr>
              <w:numPr>
                <w:ilvl w:val="0"/>
                <w:numId w:val="1"/>
              </w:numPr>
              <w:spacing w:line="240" w:lineRule="exact"/>
              <w:ind w:left="425" w:leftChars="0" w:hanging="425" w:firstLineChars="0"/>
              <w:jc w:val="center"/>
              <w:rPr>
                <w:rFonts w:hint="eastAsia" w:ascii="仿宋_GB2312" w:hAnsi="仿宋_GB2312" w:eastAsia="仿宋_GB2312" w:cs="仿宋_GB2312"/>
                <w:color w:val="auto"/>
                <w:sz w:val="20"/>
                <w:szCs w:val="20"/>
                <w:lang w:val="en-US" w:eastAsia="zh-CN"/>
              </w:rPr>
            </w:pPr>
          </w:p>
        </w:tc>
        <w:tc>
          <w:tcPr>
            <w:tcW w:w="3108" w:type="dxa"/>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0"/>
                <w:szCs w:val="20"/>
                <w:u w:val="none"/>
                <w:lang w:val="en-US" w:eastAsia="zh-CN" w:bidi="ar"/>
              </w:rPr>
            </w:pPr>
            <w:r>
              <w:rPr>
                <w:rFonts w:hint="eastAsia" w:ascii="仿宋_GB2312" w:hAnsi="仿宋_GB2312" w:eastAsia="仿宋_GB2312" w:cs="仿宋_GB2312"/>
                <w:i w:val="0"/>
                <w:iCs w:val="0"/>
                <w:color w:val="auto"/>
                <w:kern w:val="0"/>
                <w:sz w:val="20"/>
                <w:szCs w:val="20"/>
                <w:u w:val="none"/>
                <w:lang w:val="en-US" w:eastAsia="zh-CN" w:bidi="ar"/>
              </w:rPr>
              <w:t>对生产、经营、储存易燃易爆危险品的消防安全重点单位，未按照规定指定专业处置人员，设置专用资料箱，配备专用灭火器材、储备专用灭火药剂，或者未保持专用灭火器材和灭火药剂完好有效的行政处罚</w:t>
            </w:r>
          </w:p>
        </w:tc>
        <w:tc>
          <w:tcPr>
            <w:tcW w:w="1286" w:type="dxa"/>
            <w:vAlign w:val="center"/>
          </w:tcPr>
          <w:p>
            <w:pPr>
              <w:numPr>
                <w:ilvl w:val="0"/>
                <w:numId w:val="2"/>
              </w:numPr>
              <w:spacing w:line="240" w:lineRule="exact"/>
              <w:ind w:left="425" w:leftChars="0" w:hanging="425" w:firstLineChars="0"/>
              <w:rPr>
                <w:rFonts w:hint="eastAsia" w:ascii="仿宋_GB2312" w:hAnsi="仿宋_GB2312" w:eastAsia="仿宋_GB2312" w:cs="仿宋_GB2312"/>
                <w:color w:val="auto"/>
                <w:sz w:val="20"/>
                <w:szCs w:val="20"/>
              </w:rPr>
            </w:pPr>
          </w:p>
        </w:tc>
        <w:tc>
          <w:tcPr>
            <w:tcW w:w="4253" w:type="dxa"/>
            <w:vAlign w:val="center"/>
          </w:tcPr>
          <w:p>
            <w:pPr>
              <w:keepNext w:val="0"/>
              <w:keepLines w:val="0"/>
              <w:widowControl/>
              <w:suppressLineNumbers w:val="0"/>
              <w:jc w:val="left"/>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《江苏省消防条例》第八十三条 生产、经营、储存易燃易爆危险品的消防安全重点单位，未按照规定指定专业处置人员，设置专用资料箱，配备专用灭火器材、储备专用灭火药剂，或者未保持专用灭火器材和灭火药剂完好有效的，由消防救援机构责令限期改正；逾期不改正的，处五千元以上三万元以下罚款。</w:t>
            </w:r>
          </w:p>
        </w:tc>
        <w:tc>
          <w:tcPr>
            <w:tcW w:w="2126" w:type="dxa"/>
            <w:vAlign w:val="center"/>
          </w:tcPr>
          <w:p>
            <w:pPr>
              <w:numPr>
                <w:ilvl w:val="0"/>
                <w:numId w:val="3"/>
              </w:numPr>
              <w:spacing w:line="240" w:lineRule="exact"/>
              <w:ind w:left="425" w:leftChars="0" w:hanging="425" w:firstLineChars="0"/>
              <w:rPr>
                <w:rFonts w:hint="eastAsia" w:ascii="仿宋_GB2312" w:hAnsi="仿宋_GB2312" w:eastAsia="仿宋_GB2312" w:cs="仿宋_GB2312"/>
                <w:color w:val="auto"/>
                <w:sz w:val="20"/>
                <w:szCs w:val="20"/>
              </w:rPr>
            </w:pPr>
          </w:p>
        </w:tc>
        <w:tc>
          <w:tcPr>
            <w:tcW w:w="992" w:type="dxa"/>
            <w:vAlign w:val="center"/>
          </w:tcPr>
          <w:p>
            <w:pPr>
              <w:numPr>
                <w:ilvl w:val="0"/>
                <w:numId w:val="4"/>
              </w:numPr>
              <w:spacing w:line="240" w:lineRule="exact"/>
              <w:ind w:left="425" w:leftChars="0" w:hanging="425" w:firstLineChars="0"/>
              <w:rPr>
                <w:rFonts w:hint="eastAsia" w:ascii="仿宋_GB2312" w:hAnsi="仿宋_GB2312" w:eastAsia="仿宋_GB2312" w:cs="仿宋_GB2312"/>
                <w:color w:val="auto"/>
                <w:sz w:val="20"/>
                <w:szCs w:val="20"/>
              </w:rPr>
            </w:pPr>
          </w:p>
        </w:tc>
        <w:tc>
          <w:tcPr>
            <w:tcW w:w="1010" w:type="dxa"/>
            <w:vAlign w:val="center"/>
          </w:tcPr>
          <w:p>
            <w:pPr>
              <w:spacing w:line="240" w:lineRule="exact"/>
              <w:rPr>
                <w:rFonts w:hint="eastAsia" w:ascii="仿宋_GB2312" w:hAnsi="仿宋_GB2312" w:eastAsia="仿宋_GB2312" w:cs="仿宋_GB2312"/>
                <w:color w:val="auto"/>
                <w:sz w:val="20"/>
                <w:szCs w:val="20"/>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55" w:hRule="atLeast"/>
          <w:jc w:val="center"/>
        </w:trPr>
        <w:tc>
          <w:tcPr>
            <w:tcW w:w="758" w:type="dxa"/>
            <w:vAlign w:val="center"/>
          </w:tcPr>
          <w:p>
            <w:pPr>
              <w:numPr>
                <w:ilvl w:val="0"/>
                <w:numId w:val="1"/>
              </w:numPr>
              <w:spacing w:line="240" w:lineRule="exact"/>
              <w:ind w:left="425" w:leftChars="0" w:hanging="425" w:firstLineChars="0"/>
              <w:jc w:val="center"/>
              <w:rPr>
                <w:rFonts w:hint="eastAsia" w:ascii="仿宋_GB2312" w:hAnsi="仿宋_GB2312" w:eastAsia="仿宋_GB2312" w:cs="仿宋_GB2312"/>
                <w:color w:val="auto"/>
                <w:sz w:val="20"/>
                <w:szCs w:val="20"/>
                <w:lang w:val="en-US" w:eastAsia="zh-CN"/>
              </w:rPr>
            </w:pPr>
          </w:p>
        </w:tc>
        <w:tc>
          <w:tcPr>
            <w:tcW w:w="3108" w:type="dxa"/>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0"/>
                <w:szCs w:val="20"/>
                <w:u w:val="none"/>
                <w:lang w:val="en-US" w:eastAsia="zh-CN" w:bidi="ar"/>
              </w:rPr>
            </w:pPr>
            <w:r>
              <w:rPr>
                <w:rFonts w:hint="eastAsia" w:ascii="仿宋_GB2312" w:hAnsi="仿宋_GB2312" w:eastAsia="仿宋_GB2312" w:cs="仿宋_GB2312"/>
                <w:i w:val="0"/>
                <w:iCs w:val="0"/>
                <w:color w:val="auto"/>
                <w:kern w:val="0"/>
                <w:sz w:val="20"/>
                <w:szCs w:val="20"/>
                <w:u w:val="none"/>
                <w:lang w:val="en-US" w:eastAsia="zh-CN" w:bidi="ar"/>
              </w:rPr>
              <w:t>对生产、经营、储存易燃易爆危险品的消防安全重点单位发生事故时，未启动应急救援预案，调派专业处置人员开展和参与相应处置，造成严重后果的行政处罚</w:t>
            </w:r>
          </w:p>
        </w:tc>
        <w:tc>
          <w:tcPr>
            <w:tcW w:w="1286" w:type="dxa"/>
            <w:vAlign w:val="center"/>
          </w:tcPr>
          <w:p>
            <w:pPr>
              <w:numPr>
                <w:ilvl w:val="0"/>
                <w:numId w:val="2"/>
              </w:numPr>
              <w:spacing w:line="240" w:lineRule="exact"/>
              <w:ind w:left="425" w:leftChars="0" w:hanging="425" w:firstLineChars="0"/>
              <w:rPr>
                <w:rFonts w:hint="eastAsia" w:ascii="仿宋_GB2312" w:hAnsi="仿宋_GB2312" w:eastAsia="仿宋_GB2312" w:cs="仿宋_GB2312"/>
                <w:color w:val="auto"/>
                <w:sz w:val="20"/>
                <w:szCs w:val="20"/>
              </w:rPr>
            </w:pPr>
          </w:p>
        </w:tc>
        <w:tc>
          <w:tcPr>
            <w:tcW w:w="4253" w:type="dxa"/>
            <w:vAlign w:val="center"/>
          </w:tcPr>
          <w:p>
            <w:pPr>
              <w:keepNext w:val="0"/>
              <w:keepLines w:val="0"/>
              <w:widowControl/>
              <w:suppressLineNumbers w:val="0"/>
              <w:jc w:val="left"/>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《江苏省消防条例》第八十三条 生产、经营、储存易燃易爆危险品的消防安全重点单位发生事故时，未启动应急救援预案，调派专业处置人员开展和参与相应处置，造成严重后果的，由消防救援机构对单位处五万元以上十万元以下罚款，并对直接负责的主管人员和其他直接责任人员处一千元以上三千元以下罚款。</w:t>
            </w:r>
          </w:p>
        </w:tc>
        <w:tc>
          <w:tcPr>
            <w:tcW w:w="2126" w:type="dxa"/>
            <w:vAlign w:val="center"/>
          </w:tcPr>
          <w:p>
            <w:pPr>
              <w:numPr>
                <w:ilvl w:val="0"/>
                <w:numId w:val="3"/>
              </w:numPr>
              <w:spacing w:line="240" w:lineRule="exact"/>
              <w:ind w:left="425" w:leftChars="0" w:hanging="425" w:firstLineChars="0"/>
              <w:rPr>
                <w:rFonts w:hint="eastAsia" w:ascii="仿宋_GB2312" w:hAnsi="仿宋_GB2312" w:eastAsia="仿宋_GB2312" w:cs="仿宋_GB2312"/>
                <w:color w:val="auto"/>
                <w:sz w:val="20"/>
                <w:szCs w:val="20"/>
              </w:rPr>
            </w:pPr>
          </w:p>
        </w:tc>
        <w:tc>
          <w:tcPr>
            <w:tcW w:w="992" w:type="dxa"/>
            <w:vAlign w:val="center"/>
          </w:tcPr>
          <w:p>
            <w:pPr>
              <w:numPr>
                <w:ilvl w:val="0"/>
                <w:numId w:val="4"/>
              </w:numPr>
              <w:spacing w:line="240" w:lineRule="exact"/>
              <w:ind w:left="425" w:leftChars="0" w:hanging="425" w:firstLineChars="0"/>
              <w:rPr>
                <w:rFonts w:hint="eastAsia" w:ascii="仿宋_GB2312" w:hAnsi="仿宋_GB2312" w:eastAsia="仿宋_GB2312" w:cs="仿宋_GB2312"/>
                <w:color w:val="auto"/>
                <w:sz w:val="20"/>
                <w:szCs w:val="20"/>
              </w:rPr>
            </w:pPr>
          </w:p>
        </w:tc>
        <w:tc>
          <w:tcPr>
            <w:tcW w:w="1010" w:type="dxa"/>
            <w:vAlign w:val="center"/>
          </w:tcPr>
          <w:p>
            <w:pPr>
              <w:spacing w:line="240" w:lineRule="exact"/>
              <w:rPr>
                <w:rFonts w:hint="eastAsia" w:ascii="仿宋_GB2312" w:hAnsi="仿宋_GB2312" w:eastAsia="仿宋_GB2312" w:cs="仿宋_GB2312"/>
                <w:color w:val="auto"/>
                <w:sz w:val="20"/>
                <w:szCs w:val="20"/>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55" w:hRule="atLeast"/>
          <w:jc w:val="center"/>
        </w:trPr>
        <w:tc>
          <w:tcPr>
            <w:tcW w:w="758" w:type="dxa"/>
            <w:vAlign w:val="center"/>
          </w:tcPr>
          <w:p>
            <w:pPr>
              <w:numPr>
                <w:ilvl w:val="0"/>
                <w:numId w:val="1"/>
              </w:numPr>
              <w:spacing w:line="240" w:lineRule="exact"/>
              <w:ind w:left="425" w:leftChars="0" w:hanging="425" w:firstLineChars="0"/>
              <w:jc w:val="center"/>
              <w:rPr>
                <w:rFonts w:hint="eastAsia" w:ascii="仿宋_GB2312" w:hAnsi="仿宋_GB2312" w:eastAsia="仿宋_GB2312" w:cs="仿宋_GB2312"/>
                <w:color w:val="auto"/>
                <w:sz w:val="20"/>
                <w:szCs w:val="20"/>
                <w:lang w:val="en-US" w:eastAsia="zh-CN"/>
              </w:rPr>
            </w:pPr>
          </w:p>
        </w:tc>
        <w:tc>
          <w:tcPr>
            <w:tcW w:w="3108" w:type="dxa"/>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0"/>
                <w:szCs w:val="20"/>
                <w:u w:val="none"/>
                <w:lang w:val="en-US" w:eastAsia="zh-CN" w:bidi="ar"/>
              </w:rPr>
            </w:pPr>
            <w:r>
              <w:rPr>
                <w:rFonts w:hint="eastAsia" w:ascii="仿宋_GB2312" w:hAnsi="仿宋_GB2312" w:eastAsia="仿宋_GB2312" w:cs="仿宋_GB2312"/>
                <w:i w:val="0"/>
                <w:iCs w:val="0"/>
                <w:color w:val="auto"/>
                <w:kern w:val="0"/>
                <w:sz w:val="20"/>
                <w:szCs w:val="20"/>
                <w:u w:val="none"/>
                <w:lang w:val="en-US" w:eastAsia="zh-CN" w:bidi="ar"/>
              </w:rPr>
              <w:t>对违反规定使用产生烟火的物品的行政处罚</w:t>
            </w:r>
          </w:p>
        </w:tc>
        <w:tc>
          <w:tcPr>
            <w:tcW w:w="1286" w:type="dxa"/>
            <w:vAlign w:val="center"/>
          </w:tcPr>
          <w:p>
            <w:pPr>
              <w:numPr>
                <w:ilvl w:val="0"/>
                <w:numId w:val="2"/>
              </w:numPr>
              <w:spacing w:line="240" w:lineRule="exact"/>
              <w:ind w:left="425" w:leftChars="0" w:hanging="425" w:firstLineChars="0"/>
              <w:rPr>
                <w:rFonts w:hint="eastAsia" w:ascii="仿宋_GB2312" w:hAnsi="仿宋_GB2312" w:eastAsia="仿宋_GB2312" w:cs="仿宋_GB2312"/>
                <w:color w:val="auto"/>
                <w:sz w:val="20"/>
                <w:szCs w:val="20"/>
              </w:rPr>
            </w:pPr>
          </w:p>
        </w:tc>
        <w:tc>
          <w:tcPr>
            <w:tcW w:w="4253" w:type="dxa"/>
            <w:vAlign w:val="center"/>
          </w:tcPr>
          <w:p>
            <w:pPr>
              <w:keepNext w:val="0"/>
              <w:keepLines w:val="0"/>
              <w:widowControl/>
              <w:suppressLineNumbers w:val="0"/>
              <w:jc w:val="left"/>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《江苏省消防条例》第八十四条 违反规定使用产生烟火的物品的，由消防救援机构对单位处三千元以上三万元以下罚款；对个人处警告或者五百元以下罚款。</w:t>
            </w:r>
          </w:p>
        </w:tc>
        <w:tc>
          <w:tcPr>
            <w:tcW w:w="2126" w:type="dxa"/>
            <w:vAlign w:val="center"/>
          </w:tcPr>
          <w:p>
            <w:pPr>
              <w:numPr>
                <w:ilvl w:val="0"/>
                <w:numId w:val="3"/>
              </w:numPr>
              <w:spacing w:line="240" w:lineRule="exact"/>
              <w:ind w:left="425" w:leftChars="0" w:hanging="425" w:firstLineChars="0"/>
              <w:rPr>
                <w:rFonts w:hint="eastAsia" w:ascii="仿宋_GB2312" w:hAnsi="仿宋_GB2312" w:eastAsia="仿宋_GB2312" w:cs="仿宋_GB2312"/>
                <w:color w:val="auto"/>
                <w:sz w:val="20"/>
                <w:szCs w:val="20"/>
              </w:rPr>
            </w:pPr>
          </w:p>
        </w:tc>
        <w:tc>
          <w:tcPr>
            <w:tcW w:w="992" w:type="dxa"/>
            <w:vAlign w:val="center"/>
          </w:tcPr>
          <w:p>
            <w:pPr>
              <w:numPr>
                <w:ilvl w:val="0"/>
                <w:numId w:val="4"/>
              </w:numPr>
              <w:spacing w:line="240" w:lineRule="exact"/>
              <w:ind w:left="425" w:leftChars="0" w:hanging="425" w:firstLineChars="0"/>
              <w:rPr>
                <w:rFonts w:hint="eastAsia" w:ascii="仿宋_GB2312" w:hAnsi="仿宋_GB2312" w:eastAsia="仿宋_GB2312" w:cs="仿宋_GB2312"/>
                <w:color w:val="auto"/>
                <w:sz w:val="20"/>
                <w:szCs w:val="20"/>
              </w:rPr>
            </w:pPr>
          </w:p>
        </w:tc>
        <w:tc>
          <w:tcPr>
            <w:tcW w:w="1010" w:type="dxa"/>
            <w:vAlign w:val="center"/>
          </w:tcPr>
          <w:p>
            <w:pPr>
              <w:spacing w:line="240" w:lineRule="exact"/>
              <w:rPr>
                <w:rFonts w:hint="eastAsia" w:ascii="仿宋_GB2312" w:hAnsi="仿宋_GB2312" w:eastAsia="仿宋_GB2312" w:cs="仿宋_GB2312"/>
                <w:color w:val="auto"/>
                <w:sz w:val="20"/>
                <w:szCs w:val="20"/>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55" w:hRule="atLeast"/>
          <w:jc w:val="center"/>
        </w:trPr>
        <w:tc>
          <w:tcPr>
            <w:tcW w:w="758" w:type="dxa"/>
            <w:vAlign w:val="center"/>
          </w:tcPr>
          <w:p>
            <w:pPr>
              <w:numPr>
                <w:ilvl w:val="0"/>
                <w:numId w:val="1"/>
              </w:numPr>
              <w:spacing w:line="240" w:lineRule="exact"/>
              <w:ind w:left="425" w:leftChars="0" w:hanging="425" w:firstLineChars="0"/>
              <w:jc w:val="center"/>
              <w:rPr>
                <w:rFonts w:hint="eastAsia" w:ascii="仿宋_GB2312" w:hAnsi="仿宋_GB2312" w:eastAsia="仿宋_GB2312" w:cs="仿宋_GB2312"/>
                <w:color w:val="auto"/>
                <w:sz w:val="20"/>
                <w:szCs w:val="20"/>
                <w:lang w:val="en-US" w:eastAsia="zh-CN"/>
              </w:rPr>
            </w:pPr>
          </w:p>
        </w:tc>
        <w:tc>
          <w:tcPr>
            <w:tcW w:w="3108" w:type="dxa"/>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0"/>
                <w:szCs w:val="20"/>
                <w:u w:val="none"/>
                <w:lang w:val="en-US" w:eastAsia="zh-CN" w:bidi="ar"/>
              </w:rPr>
            </w:pPr>
            <w:r>
              <w:rPr>
                <w:rFonts w:hint="eastAsia" w:ascii="仿宋_GB2312" w:hAnsi="仿宋_GB2312" w:eastAsia="仿宋_GB2312" w:cs="仿宋_GB2312"/>
                <w:i w:val="0"/>
                <w:iCs w:val="0"/>
                <w:color w:val="auto"/>
                <w:kern w:val="0"/>
                <w:sz w:val="20"/>
                <w:szCs w:val="20"/>
                <w:u w:val="none"/>
                <w:lang w:val="en-US" w:eastAsia="zh-CN" w:bidi="ar"/>
              </w:rPr>
              <w:t>利用船舶或者水上浮动设施开设餐饮、娱乐场所、水上加油点，不符合相应的消防技术标准和管理规定逾期未改的行政处罚</w:t>
            </w:r>
          </w:p>
        </w:tc>
        <w:tc>
          <w:tcPr>
            <w:tcW w:w="1286" w:type="dxa"/>
            <w:vAlign w:val="center"/>
          </w:tcPr>
          <w:p>
            <w:pPr>
              <w:numPr>
                <w:ilvl w:val="0"/>
                <w:numId w:val="2"/>
              </w:numPr>
              <w:spacing w:line="240" w:lineRule="exact"/>
              <w:ind w:left="425" w:leftChars="0" w:hanging="425" w:firstLineChars="0"/>
              <w:rPr>
                <w:rFonts w:hint="eastAsia" w:ascii="仿宋_GB2312" w:hAnsi="仿宋_GB2312" w:eastAsia="仿宋_GB2312" w:cs="仿宋_GB2312"/>
                <w:color w:val="auto"/>
                <w:sz w:val="20"/>
                <w:szCs w:val="20"/>
              </w:rPr>
            </w:pPr>
          </w:p>
        </w:tc>
        <w:tc>
          <w:tcPr>
            <w:tcW w:w="4253" w:type="dxa"/>
            <w:vAlign w:val="center"/>
          </w:tcPr>
          <w:p>
            <w:pPr>
              <w:keepNext w:val="0"/>
              <w:keepLines w:val="0"/>
              <w:widowControl/>
              <w:suppressLineNumbers w:val="0"/>
              <w:jc w:val="left"/>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《江苏省消防条例》第八十五条 利用船舶或者水上浮动设施开设餐饮、娱乐场所、水上加油点，不符合相应的消防技术标准和管理规定的，责令限期改正；逾期不改正的，责令停止使用，处五千元以上五万元以下罚款。餐饮、娱乐场所由消防救援机构实施处罚，水上加油点由县级以上地方人民政府确定的管理部门实施处罚。</w:t>
            </w:r>
          </w:p>
        </w:tc>
        <w:tc>
          <w:tcPr>
            <w:tcW w:w="2126" w:type="dxa"/>
            <w:vAlign w:val="center"/>
          </w:tcPr>
          <w:p>
            <w:pPr>
              <w:numPr>
                <w:ilvl w:val="0"/>
                <w:numId w:val="3"/>
              </w:numPr>
              <w:spacing w:line="240" w:lineRule="exact"/>
              <w:ind w:left="425" w:leftChars="0" w:hanging="425" w:firstLineChars="0"/>
              <w:rPr>
                <w:rFonts w:hint="eastAsia" w:ascii="仿宋_GB2312" w:hAnsi="仿宋_GB2312" w:eastAsia="仿宋_GB2312" w:cs="仿宋_GB2312"/>
                <w:color w:val="auto"/>
                <w:sz w:val="20"/>
                <w:szCs w:val="20"/>
              </w:rPr>
            </w:pPr>
          </w:p>
        </w:tc>
        <w:tc>
          <w:tcPr>
            <w:tcW w:w="992" w:type="dxa"/>
            <w:vAlign w:val="center"/>
          </w:tcPr>
          <w:p>
            <w:pPr>
              <w:numPr>
                <w:ilvl w:val="0"/>
                <w:numId w:val="4"/>
              </w:numPr>
              <w:spacing w:line="240" w:lineRule="exact"/>
              <w:ind w:left="425" w:leftChars="0" w:hanging="425" w:firstLineChars="0"/>
              <w:rPr>
                <w:rFonts w:hint="eastAsia" w:ascii="仿宋_GB2312" w:hAnsi="仿宋_GB2312" w:eastAsia="仿宋_GB2312" w:cs="仿宋_GB2312"/>
                <w:color w:val="auto"/>
                <w:sz w:val="20"/>
                <w:szCs w:val="20"/>
              </w:rPr>
            </w:pPr>
          </w:p>
        </w:tc>
        <w:tc>
          <w:tcPr>
            <w:tcW w:w="1010" w:type="dxa"/>
            <w:vAlign w:val="center"/>
          </w:tcPr>
          <w:p>
            <w:pPr>
              <w:spacing w:line="240" w:lineRule="exact"/>
              <w:rPr>
                <w:rFonts w:hint="eastAsia" w:ascii="仿宋_GB2312" w:hAnsi="仿宋_GB2312" w:eastAsia="仿宋_GB2312" w:cs="仿宋_GB2312"/>
                <w:color w:val="auto"/>
                <w:sz w:val="20"/>
                <w:szCs w:val="20"/>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55" w:hRule="atLeast"/>
          <w:jc w:val="center"/>
        </w:trPr>
        <w:tc>
          <w:tcPr>
            <w:tcW w:w="758" w:type="dxa"/>
            <w:vAlign w:val="center"/>
          </w:tcPr>
          <w:p>
            <w:pPr>
              <w:numPr>
                <w:ilvl w:val="0"/>
                <w:numId w:val="1"/>
              </w:numPr>
              <w:spacing w:line="240" w:lineRule="exact"/>
              <w:ind w:left="425" w:leftChars="0" w:hanging="425" w:firstLineChars="0"/>
              <w:jc w:val="center"/>
              <w:rPr>
                <w:rFonts w:hint="eastAsia" w:ascii="仿宋_GB2312" w:hAnsi="仿宋_GB2312" w:eastAsia="仿宋_GB2312" w:cs="仿宋_GB2312"/>
                <w:color w:val="auto"/>
                <w:sz w:val="20"/>
                <w:szCs w:val="20"/>
                <w:lang w:val="en-US" w:eastAsia="zh-CN"/>
              </w:rPr>
            </w:pPr>
          </w:p>
        </w:tc>
        <w:tc>
          <w:tcPr>
            <w:tcW w:w="3108" w:type="dxa"/>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0"/>
                <w:szCs w:val="20"/>
                <w:u w:val="none"/>
                <w:lang w:val="en-US" w:eastAsia="zh-CN" w:bidi="ar"/>
              </w:rPr>
            </w:pPr>
            <w:r>
              <w:rPr>
                <w:rFonts w:hint="eastAsia" w:ascii="仿宋_GB2312" w:hAnsi="仿宋_GB2312" w:eastAsia="仿宋_GB2312" w:cs="仿宋_GB2312"/>
                <w:i w:val="0"/>
                <w:iCs w:val="0"/>
                <w:color w:val="auto"/>
                <w:kern w:val="0"/>
                <w:sz w:val="20"/>
                <w:szCs w:val="20"/>
                <w:u w:val="none"/>
                <w:lang w:val="en-US" w:eastAsia="zh-CN" w:bidi="ar"/>
              </w:rPr>
              <w:t>对城市轨道交通运营单位未按照规定配备灭火救援装备、器材的行政处罚</w:t>
            </w:r>
          </w:p>
        </w:tc>
        <w:tc>
          <w:tcPr>
            <w:tcW w:w="1286" w:type="dxa"/>
            <w:vAlign w:val="center"/>
          </w:tcPr>
          <w:p>
            <w:pPr>
              <w:numPr>
                <w:ilvl w:val="0"/>
                <w:numId w:val="2"/>
              </w:numPr>
              <w:spacing w:line="240" w:lineRule="exact"/>
              <w:ind w:left="425" w:leftChars="0" w:hanging="425" w:firstLineChars="0"/>
              <w:rPr>
                <w:rFonts w:hint="eastAsia" w:ascii="仿宋_GB2312" w:hAnsi="仿宋_GB2312" w:eastAsia="仿宋_GB2312" w:cs="仿宋_GB2312"/>
                <w:color w:val="auto"/>
                <w:sz w:val="20"/>
                <w:szCs w:val="20"/>
              </w:rPr>
            </w:pPr>
          </w:p>
        </w:tc>
        <w:tc>
          <w:tcPr>
            <w:tcW w:w="4253" w:type="dxa"/>
            <w:vAlign w:val="center"/>
          </w:tcPr>
          <w:p>
            <w:pPr>
              <w:keepNext w:val="0"/>
              <w:keepLines w:val="0"/>
              <w:widowControl/>
              <w:suppressLineNumbers w:val="0"/>
              <w:jc w:val="left"/>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《江苏省消防条例》第八十六条 城市轨道交通运营单位未按照规定配备灭火救援装备、器材的，由消防救援机构责令限期改正；逾期不改正的，处五千元以上五万元以下罚款。</w:t>
            </w:r>
          </w:p>
        </w:tc>
        <w:tc>
          <w:tcPr>
            <w:tcW w:w="2126" w:type="dxa"/>
            <w:vAlign w:val="center"/>
          </w:tcPr>
          <w:p>
            <w:pPr>
              <w:numPr>
                <w:ilvl w:val="0"/>
                <w:numId w:val="3"/>
              </w:numPr>
              <w:spacing w:line="240" w:lineRule="exact"/>
              <w:ind w:left="425" w:leftChars="0" w:hanging="425" w:firstLineChars="0"/>
              <w:rPr>
                <w:rFonts w:hint="eastAsia" w:ascii="仿宋_GB2312" w:hAnsi="仿宋_GB2312" w:eastAsia="仿宋_GB2312" w:cs="仿宋_GB2312"/>
                <w:color w:val="auto"/>
                <w:sz w:val="20"/>
                <w:szCs w:val="20"/>
              </w:rPr>
            </w:pPr>
          </w:p>
        </w:tc>
        <w:tc>
          <w:tcPr>
            <w:tcW w:w="992" w:type="dxa"/>
            <w:vAlign w:val="center"/>
          </w:tcPr>
          <w:p>
            <w:pPr>
              <w:numPr>
                <w:ilvl w:val="0"/>
                <w:numId w:val="4"/>
              </w:numPr>
              <w:spacing w:line="240" w:lineRule="exact"/>
              <w:ind w:left="425" w:leftChars="0" w:hanging="425" w:firstLineChars="0"/>
              <w:rPr>
                <w:rFonts w:hint="eastAsia" w:ascii="仿宋_GB2312" w:hAnsi="仿宋_GB2312" w:eastAsia="仿宋_GB2312" w:cs="仿宋_GB2312"/>
                <w:color w:val="auto"/>
                <w:sz w:val="20"/>
                <w:szCs w:val="20"/>
              </w:rPr>
            </w:pPr>
          </w:p>
        </w:tc>
        <w:tc>
          <w:tcPr>
            <w:tcW w:w="1010" w:type="dxa"/>
            <w:vAlign w:val="center"/>
          </w:tcPr>
          <w:p>
            <w:pPr>
              <w:spacing w:line="240" w:lineRule="exact"/>
              <w:rPr>
                <w:rFonts w:hint="eastAsia" w:ascii="仿宋_GB2312" w:hAnsi="仿宋_GB2312" w:eastAsia="仿宋_GB2312" w:cs="仿宋_GB2312"/>
                <w:color w:val="auto"/>
                <w:sz w:val="20"/>
                <w:szCs w:val="20"/>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55" w:hRule="atLeast"/>
          <w:jc w:val="center"/>
        </w:trPr>
        <w:tc>
          <w:tcPr>
            <w:tcW w:w="758" w:type="dxa"/>
            <w:vAlign w:val="center"/>
          </w:tcPr>
          <w:p>
            <w:pPr>
              <w:numPr>
                <w:ilvl w:val="0"/>
                <w:numId w:val="1"/>
              </w:numPr>
              <w:spacing w:line="240" w:lineRule="exact"/>
              <w:ind w:left="425" w:leftChars="0" w:hanging="425" w:firstLineChars="0"/>
              <w:jc w:val="center"/>
              <w:rPr>
                <w:rFonts w:hint="eastAsia" w:ascii="仿宋_GB2312" w:hAnsi="仿宋_GB2312" w:eastAsia="仿宋_GB2312" w:cs="仿宋_GB2312"/>
                <w:color w:val="auto"/>
                <w:sz w:val="20"/>
                <w:szCs w:val="20"/>
                <w:lang w:val="en-US" w:eastAsia="zh-CN"/>
              </w:rPr>
            </w:pPr>
          </w:p>
        </w:tc>
        <w:tc>
          <w:tcPr>
            <w:tcW w:w="3108" w:type="dxa"/>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0"/>
                <w:szCs w:val="20"/>
                <w:u w:val="none"/>
                <w:lang w:val="en-US" w:eastAsia="zh-CN" w:bidi="ar"/>
              </w:rPr>
            </w:pPr>
            <w:r>
              <w:rPr>
                <w:rFonts w:hint="eastAsia" w:ascii="仿宋_GB2312" w:hAnsi="仿宋_GB2312" w:eastAsia="仿宋_GB2312" w:cs="仿宋_GB2312"/>
                <w:i w:val="0"/>
                <w:iCs w:val="0"/>
                <w:color w:val="auto"/>
                <w:kern w:val="0"/>
                <w:sz w:val="20"/>
                <w:szCs w:val="20"/>
                <w:u w:val="none"/>
                <w:lang w:val="en-US" w:eastAsia="zh-CN" w:bidi="ar"/>
              </w:rPr>
              <w:t>对自动消防系统的操作人员未按照规定取得相应资格上岗作业的行政处罚</w:t>
            </w:r>
          </w:p>
        </w:tc>
        <w:tc>
          <w:tcPr>
            <w:tcW w:w="1286" w:type="dxa"/>
            <w:vAlign w:val="center"/>
          </w:tcPr>
          <w:p>
            <w:pPr>
              <w:numPr>
                <w:ilvl w:val="0"/>
                <w:numId w:val="2"/>
              </w:numPr>
              <w:spacing w:line="240" w:lineRule="exact"/>
              <w:ind w:left="425" w:leftChars="0" w:hanging="425" w:firstLineChars="0"/>
              <w:rPr>
                <w:rFonts w:hint="eastAsia" w:ascii="仿宋_GB2312" w:hAnsi="仿宋_GB2312" w:eastAsia="仿宋_GB2312" w:cs="仿宋_GB2312"/>
                <w:color w:val="auto"/>
                <w:sz w:val="20"/>
                <w:szCs w:val="20"/>
              </w:rPr>
            </w:pPr>
          </w:p>
        </w:tc>
        <w:tc>
          <w:tcPr>
            <w:tcW w:w="4253" w:type="dxa"/>
            <w:vAlign w:val="center"/>
          </w:tcPr>
          <w:p>
            <w:pPr>
              <w:keepNext w:val="0"/>
              <w:keepLines w:val="0"/>
              <w:widowControl/>
              <w:suppressLineNumbers w:val="0"/>
              <w:jc w:val="left"/>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《江苏省消防条例》第八十七条 自动消防系统的操作人员未按照规定取得相应资格上岗作业的，由消防救援机构责令用人单位改正；拒不改正的，对用人单位处二千元以上一万元以下罚款。</w:t>
            </w:r>
          </w:p>
        </w:tc>
        <w:tc>
          <w:tcPr>
            <w:tcW w:w="2126" w:type="dxa"/>
            <w:vAlign w:val="center"/>
          </w:tcPr>
          <w:p>
            <w:pPr>
              <w:numPr>
                <w:ilvl w:val="0"/>
                <w:numId w:val="3"/>
              </w:numPr>
              <w:spacing w:line="240" w:lineRule="exact"/>
              <w:ind w:left="425" w:leftChars="0" w:hanging="425" w:firstLineChars="0"/>
              <w:rPr>
                <w:rFonts w:hint="eastAsia" w:ascii="仿宋_GB2312" w:hAnsi="仿宋_GB2312" w:eastAsia="仿宋_GB2312" w:cs="仿宋_GB2312"/>
                <w:color w:val="auto"/>
                <w:sz w:val="20"/>
                <w:szCs w:val="20"/>
              </w:rPr>
            </w:pPr>
          </w:p>
        </w:tc>
        <w:tc>
          <w:tcPr>
            <w:tcW w:w="992" w:type="dxa"/>
            <w:vAlign w:val="center"/>
          </w:tcPr>
          <w:p>
            <w:pPr>
              <w:numPr>
                <w:ilvl w:val="0"/>
                <w:numId w:val="4"/>
              </w:numPr>
              <w:spacing w:line="240" w:lineRule="exact"/>
              <w:ind w:left="425" w:leftChars="0" w:hanging="425" w:firstLineChars="0"/>
              <w:rPr>
                <w:rFonts w:hint="eastAsia" w:ascii="仿宋_GB2312" w:hAnsi="仿宋_GB2312" w:eastAsia="仿宋_GB2312" w:cs="仿宋_GB2312"/>
                <w:color w:val="auto"/>
                <w:sz w:val="20"/>
                <w:szCs w:val="20"/>
              </w:rPr>
            </w:pPr>
          </w:p>
        </w:tc>
        <w:tc>
          <w:tcPr>
            <w:tcW w:w="1010" w:type="dxa"/>
            <w:vAlign w:val="center"/>
          </w:tcPr>
          <w:p>
            <w:pPr>
              <w:spacing w:line="240" w:lineRule="exact"/>
              <w:rPr>
                <w:rFonts w:hint="eastAsia" w:ascii="仿宋_GB2312" w:hAnsi="仿宋_GB2312" w:eastAsia="仿宋_GB2312" w:cs="仿宋_GB2312"/>
                <w:color w:val="auto"/>
                <w:sz w:val="20"/>
                <w:szCs w:val="20"/>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55" w:hRule="atLeast"/>
          <w:jc w:val="center"/>
        </w:trPr>
        <w:tc>
          <w:tcPr>
            <w:tcW w:w="758" w:type="dxa"/>
            <w:vAlign w:val="center"/>
          </w:tcPr>
          <w:p>
            <w:pPr>
              <w:numPr>
                <w:ilvl w:val="0"/>
                <w:numId w:val="1"/>
              </w:numPr>
              <w:spacing w:line="240" w:lineRule="exact"/>
              <w:ind w:left="425" w:leftChars="0" w:hanging="425" w:firstLineChars="0"/>
              <w:jc w:val="center"/>
              <w:rPr>
                <w:rFonts w:hint="eastAsia" w:ascii="仿宋_GB2312" w:hAnsi="仿宋_GB2312" w:eastAsia="仿宋_GB2312" w:cs="仿宋_GB2312"/>
                <w:color w:val="auto"/>
                <w:sz w:val="20"/>
                <w:szCs w:val="20"/>
                <w:lang w:val="en-US" w:eastAsia="zh-CN"/>
              </w:rPr>
            </w:pPr>
          </w:p>
        </w:tc>
        <w:tc>
          <w:tcPr>
            <w:tcW w:w="3108" w:type="dxa"/>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0"/>
                <w:szCs w:val="20"/>
                <w:u w:val="none"/>
                <w:lang w:val="en-US" w:eastAsia="zh-CN" w:bidi="ar"/>
              </w:rPr>
            </w:pPr>
            <w:r>
              <w:rPr>
                <w:rFonts w:hint="eastAsia" w:ascii="仿宋_GB2312" w:hAnsi="仿宋_GB2312" w:eastAsia="仿宋_GB2312" w:cs="仿宋_GB2312"/>
                <w:i w:val="0"/>
                <w:iCs w:val="0"/>
                <w:color w:val="auto"/>
                <w:kern w:val="0"/>
                <w:sz w:val="20"/>
                <w:szCs w:val="20"/>
                <w:u w:val="none"/>
                <w:lang w:val="en-US" w:eastAsia="zh-CN" w:bidi="ar"/>
              </w:rPr>
              <w:t>对无正当理由拒不配合、协助开展熟悉演练活动或者提供资料的行政处罚</w:t>
            </w:r>
          </w:p>
        </w:tc>
        <w:tc>
          <w:tcPr>
            <w:tcW w:w="1286" w:type="dxa"/>
            <w:vAlign w:val="center"/>
          </w:tcPr>
          <w:p>
            <w:pPr>
              <w:numPr>
                <w:ilvl w:val="0"/>
                <w:numId w:val="2"/>
              </w:numPr>
              <w:spacing w:line="240" w:lineRule="exact"/>
              <w:ind w:left="425" w:leftChars="0" w:hanging="425" w:firstLineChars="0"/>
              <w:rPr>
                <w:rFonts w:hint="eastAsia" w:ascii="仿宋_GB2312" w:hAnsi="仿宋_GB2312" w:eastAsia="仿宋_GB2312" w:cs="仿宋_GB2312"/>
                <w:color w:val="auto"/>
                <w:sz w:val="20"/>
                <w:szCs w:val="20"/>
              </w:rPr>
            </w:pPr>
          </w:p>
        </w:tc>
        <w:tc>
          <w:tcPr>
            <w:tcW w:w="4253" w:type="dxa"/>
            <w:vAlign w:val="center"/>
          </w:tcPr>
          <w:p>
            <w:pPr>
              <w:keepNext w:val="0"/>
              <w:keepLines w:val="0"/>
              <w:widowControl/>
              <w:suppressLineNumbers w:val="0"/>
              <w:jc w:val="left"/>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《江苏省消防条例》第八十八条 机关、团体、企业、事业等单位无正当理由拒不配合、协助开展熟悉演练活动或者提供资料的，由消防救援机构责令限期改正；逾期不改正的，处五百元以上五千元以下罚款。</w:t>
            </w:r>
          </w:p>
        </w:tc>
        <w:tc>
          <w:tcPr>
            <w:tcW w:w="2126" w:type="dxa"/>
            <w:vAlign w:val="center"/>
          </w:tcPr>
          <w:p>
            <w:pPr>
              <w:numPr>
                <w:ilvl w:val="0"/>
                <w:numId w:val="3"/>
              </w:numPr>
              <w:spacing w:line="240" w:lineRule="exact"/>
              <w:ind w:left="425" w:leftChars="0" w:hanging="425" w:firstLineChars="0"/>
              <w:rPr>
                <w:rFonts w:hint="eastAsia" w:ascii="仿宋_GB2312" w:hAnsi="仿宋_GB2312" w:eastAsia="仿宋_GB2312" w:cs="仿宋_GB2312"/>
                <w:color w:val="auto"/>
                <w:sz w:val="20"/>
                <w:szCs w:val="20"/>
              </w:rPr>
            </w:pPr>
          </w:p>
        </w:tc>
        <w:tc>
          <w:tcPr>
            <w:tcW w:w="992" w:type="dxa"/>
            <w:vAlign w:val="center"/>
          </w:tcPr>
          <w:p>
            <w:pPr>
              <w:numPr>
                <w:ilvl w:val="0"/>
                <w:numId w:val="4"/>
              </w:numPr>
              <w:spacing w:line="240" w:lineRule="exact"/>
              <w:ind w:left="425" w:leftChars="0" w:hanging="425" w:firstLineChars="0"/>
              <w:rPr>
                <w:rFonts w:hint="eastAsia" w:ascii="仿宋_GB2312" w:hAnsi="仿宋_GB2312" w:eastAsia="仿宋_GB2312" w:cs="仿宋_GB2312"/>
                <w:color w:val="auto"/>
                <w:sz w:val="20"/>
                <w:szCs w:val="20"/>
              </w:rPr>
            </w:pPr>
          </w:p>
        </w:tc>
        <w:tc>
          <w:tcPr>
            <w:tcW w:w="1010" w:type="dxa"/>
            <w:vAlign w:val="center"/>
          </w:tcPr>
          <w:p>
            <w:pPr>
              <w:spacing w:line="240" w:lineRule="exact"/>
              <w:rPr>
                <w:rFonts w:hint="eastAsia" w:ascii="仿宋_GB2312" w:hAnsi="仿宋_GB2312" w:eastAsia="仿宋_GB2312" w:cs="仿宋_GB2312"/>
                <w:color w:val="auto"/>
                <w:sz w:val="20"/>
                <w:szCs w:val="20"/>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55" w:hRule="atLeast"/>
          <w:jc w:val="center"/>
        </w:trPr>
        <w:tc>
          <w:tcPr>
            <w:tcW w:w="758" w:type="dxa"/>
            <w:vAlign w:val="center"/>
          </w:tcPr>
          <w:p>
            <w:pPr>
              <w:numPr>
                <w:ilvl w:val="0"/>
                <w:numId w:val="1"/>
              </w:numPr>
              <w:spacing w:line="240" w:lineRule="exact"/>
              <w:ind w:left="425" w:leftChars="0" w:hanging="425" w:firstLineChars="0"/>
              <w:jc w:val="center"/>
              <w:rPr>
                <w:rFonts w:hint="eastAsia" w:ascii="仿宋_GB2312" w:hAnsi="仿宋_GB2312" w:eastAsia="仿宋_GB2312" w:cs="仿宋_GB2312"/>
                <w:color w:val="auto"/>
                <w:sz w:val="20"/>
                <w:szCs w:val="20"/>
                <w:lang w:val="en-US" w:eastAsia="zh-CN"/>
              </w:rPr>
            </w:pPr>
          </w:p>
        </w:tc>
        <w:tc>
          <w:tcPr>
            <w:tcW w:w="3108" w:type="dxa"/>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0"/>
                <w:szCs w:val="20"/>
                <w:u w:val="none"/>
                <w:lang w:val="en-US" w:eastAsia="zh-CN" w:bidi="ar"/>
              </w:rPr>
            </w:pPr>
            <w:r>
              <w:rPr>
                <w:rFonts w:hint="eastAsia" w:ascii="仿宋_GB2312" w:hAnsi="仿宋_GB2312" w:eastAsia="仿宋_GB2312" w:cs="仿宋_GB2312"/>
                <w:i w:val="0"/>
                <w:iCs w:val="0"/>
                <w:color w:val="auto"/>
                <w:kern w:val="0"/>
                <w:sz w:val="20"/>
                <w:szCs w:val="20"/>
                <w:u w:val="none"/>
                <w:lang w:val="en-US" w:eastAsia="zh-CN" w:bidi="ar"/>
              </w:rPr>
              <w:t>对火灾扑灭后，违反规定擅自进入火灾封闭现场或者擅自清理、移动火灾现场物品的行政处罚</w:t>
            </w:r>
          </w:p>
        </w:tc>
        <w:tc>
          <w:tcPr>
            <w:tcW w:w="1286" w:type="dxa"/>
            <w:vAlign w:val="center"/>
          </w:tcPr>
          <w:p>
            <w:pPr>
              <w:numPr>
                <w:ilvl w:val="0"/>
                <w:numId w:val="2"/>
              </w:numPr>
              <w:spacing w:line="240" w:lineRule="exact"/>
              <w:ind w:left="425" w:leftChars="0" w:hanging="425" w:firstLineChars="0"/>
              <w:rPr>
                <w:rFonts w:hint="eastAsia" w:ascii="仿宋_GB2312" w:hAnsi="仿宋_GB2312" w:eastAsia="仿宋_GB2312" w:cs="仿宋_GB2312"/>
                <w:color w:val="auto"/>
                <w:sz w:val="20"/>
                <w:szCs w:val="20"/>
              </w:rPr>
            </w:pPr>
          </w:p>
        </w:tc>
        <w:tc>
          <w:tcPr>
            <w:tcW w:w="4253" w:type="dxa"/>
            <w:vAlign w:val="center"/>
          </w:tcPr>
          <w:p>
            <w:pPr>
              <w:keepNext w:val="0"/>
              <w:keepLines w:val="0"/>
              <w:widowControl/>
              <w:suppressLineNumbers w:val="0"/>
              <w:jc w:val="left"/>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《江苏省消防条例》第八十九条 火灾扑灭后，违反规定擅自进入火灾封闭现场或者擅自清理、移动火灾现场物品的，由消防救援机构责令停止违法行为，处警告或者五百元以上一千元以下罚款。</w:t>
            </w:r>
          </w:p>
        </w:tc>
        <w:tc>
          <w:tcPr>
            <w:tcW w:w="2126" w:type="dxa"/>
            <w:vAlign w:val="center"/>
          </w:tcPr>
          <w:p>
            <w:pPr>
              <w:numPr>
                <w:ilvl w:val="0"/>
                <w:numId w:val="3"/>
              </w:numPr>
              <w:spacing w:line="240" w:lineRule="exact"/>
              <w:ind w:left="425" w:leftChars="0" w:hanging="425" w:firstLineChars="0"/>
              <w:rPr>
                <w:rFonts w:hint="eastAsia" w:ascii="仿宋_GB2312" w:hAnsi="仿宋_GB2312" w:eastAsia="仿宋_GB2312" w:cs="仿宋_GB2312"/>
                <w:color w:val="auto"/>
                <w:sz w:val="20"/>
                <w:szCs w:val="20"/>
              </w:rPr>
            </w:pPr>
          </w:p>
        </w:tc>
        <w:tc>
          <w:tcPr>
            <w:tcW w:w="992" w:type="dxa"/>
            <w:vAlign w:val="center"/>
          </w:tcPr>
          <w:p>
            <w:pPr>
              <w:numPr>
                <w:ilvl w:val="0"/>
                <w:numId w:val="4"/>
              </w:numPr>
              <w:spacing w:line="240" w:lineRule="exact"/>
              <w:ind w:left="425" w:leftChars="0" w:hanging="425" w:firstLineChars="0"/>
              <w:rPr>
                <w:rFonts w:hint="eastAsia" w:ascii="仿宋_GB2312" w:hAnsi="仿宋_GB2312" w:eastAsia="仿宋_GB2312" w:cs="仿宋_GB2312"/>
                <w:color w:val="auto"/>
                <w:sz w:val="20"/>
                <w:szCs w:val="20"/>
              </w:rPr>
            </w:pPr>
          </w:p>
        </w:tc>
        <w:tc>
          <w:tcPr>
            <w:tcW w:w="1010" w:type="dxa"/>
            <w:vAlign w:val="center"/>
          </w:tcPr>
          <w:p>
            <w:pPr>
              <w:spacing w:line="240" w:lineRule="exact"/>
              <w:rPr>
                <w:rFonts w:hint="eastAsia" w:ascii="仿宋_GB2312" w:hAnsi="仿宋_GB2312" w:eastAsia="仿宋_GB2312" w:cs="仿宋_GB2312"/>
                <w:color w:val="auto"/>
                <w:sz w:val="20"/>
                <w:szCs w:val="20"/>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55" w:hRule="atLeast"/>
          <w:jc w:val="center"/>
        </w:trPr>
        <w:tc>
          <w:tcPr>
            <w:tcW w:w="758" w:type="dxa"/>
            <w:vAlign w:val="center"/>
          </w:tcPr>
          <w:p>
            <w:pPr>
              <w:numPr>
                <w:ilvl w:val="0"/>
                <w:numId w:val="1"/>
              </w:numPr>
              <w:spacing w:line="240" w:lineRule="exact"/>
              <w:ind w:left="425" w:leftChars="0" w:hanging="425" w:firstLineChars="0"/>
              <w:jc w:val="center"/>
              <w:rPr>
                <w:rFonts w:hint="eastAsia" w:ascii="仿宋_GB2312" w:hAnsi="仿宋_GB2312" w:eastAsia="仿宋_GB2312" w:cs="仿宋_GB2312"/>
                <w:color w:val="auto"/>
                <w:sz w:val="20"/>
                <w:szCs w:val="20"/>
                <w:lang w:val="en-US" w:eastAsia="zh-CN"/>
              </w:rPr>
            </w:pPr>
          </w:p>
        </w:tc>
        <w:tc>
          <w:tcPr>
            <w:tcW w:w="3108" w:type="dx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0"/>
                <w:szCs w:val="20"/>
                <w:u w:val="none"/>
                <w:lang w:val="en-US" w:eastAsia="zh-CN" w:bidi="ar"/>
              </w:rPr>
            </w:pPr>
            <w:r>
              <w:rPr>
                <w:rFonts w:hint="eastAsia" w:ascii="仿宋_GB2312" w:hAnsi="仿宋_GB2312" w:eastAsia="仿宋_GB2312" w:cs="仿宋_GB2312"/>
                <w:i w:val="0"/>
                <w:iCs w:val="0"/>
                <w:color w:val="auto"/>
                <w:kern w:val="0"/>
                <w:sz w:val="20"/>
                <w:szCs w:val="20"/>
                <w:u w:val="none"/>
                <w:lang w:val="en-US" w:eastAsia="zh-CN" w:bidi="ar"/>
              </w:rPr>
              <w:t>对住宅小区管理责任人未劝阻和制止不安全充电行为或者未及时履行报告义务的行政处罚</w:t>
            </w:r>
          </w:p>
        </w:tc>
        <w:tc>
          <w:tcPr>
            <w:tcW w:w="1286" w:type="dxa"/>
            <w:vAlign w:val="center"/>
          </w:tcPr>
          <w:p>
            <w:pPr>
              <w:numPr>
                <w:ilvl w:val="0"/>
                <w:numId w:val="2"/>
              </w:numPr>
              <w:spacing w:line="240" w:lineRule="exact"/>
              <w:ind w:left="425" w:leftChars="0" w:hanging="425" w:firstLineChars="0"/>
              <w:rPr>
                <w:rFonts w:hint="eastAsia" w:ascii="仿宋_GB2312" w:hAnsi="仿宋_GB2312" w:eastAsia="仿宋_GB2312" w:cs="仿宋_GB2312"/>
                <w:color w:val="auto"/>
                <w:sz w:val="20"/>
                <w:szCs w:val="20"/>
              </w:rPr>
            </w:pPr>
          </w:p>
        </w:tc>
        <w:tc>
          <w:tcPr>
            <w:tcW w:w="4253" w:type="dxa"/>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0"/>
                <w:szCs w:val="20"/>
                <w:u w:val="none"/>
                <w:lang w:val="en-US" w:eastAsia="zh-CN" w:bidi="ar"/>
              </w:rPr>
            </w:pPr>
            <w:r>
              <w:rPr>
                <w:rFonts w:hint="eastAsia" w:ascii="仿宋_GB2312" w:hAnsi="仿宋_GB2312" w:eastAsia="仿宋_GB2312" w:cs="仿宋_GB2312"/>
                <w:i w:val="0"/>
                <w:iCs w:val="0"/>
                <w:color w:val="auto"/>
                <w:kern w:val="0"/>
                <w:sz w:val="20"/>
                <w:szCs w:val="20"/>
                <w:u w:val="none"/>
                <w:lang w:val="en-US" w:eastAsia="zh-CN" w:bidi="ar"/>
              </w:rPr>
              <w:t>《扬州市住宅小区电动自行车充电安全管理规定》第十条第三款  住宅小区管理责任人违反本规定，未劝阻和制止不安全充电行为，或者未及时履行报告义务的，由消防救援机构责令改正；情节严重的，可以处五百元以上二千元以下罚款。</w:t>
            </w:r>
          </w:p>
        </w:tc>
        <w:tc>
          <w:tcPr>
            <w:tcW w:w="2126" w:type="dxa"/>
            <w:vAlign w:val="center"/>
          </w:tcPr>
          <w:p>
            <w:pPr>
              <w:numPr>
                <w:ilvl w:val="0"/>
                <w:numId w:val="3"/>
              </w:numPr>
              <w:spacing w:line="240" w:lineRule="exact"/>
              <w:ind w:left="425" w:leftChars="0" w:hanging="425" w:firstLineChars="0"/>
              <w:rPr>
                <w:rFonts w:hint="eastAsia" w:ascii="仿宋_GB2312" w:hAnsi="仿宋_GB2312" w:eastAsia="仿宋_GB2312" w:cs="仿宋_GB2312"/>
                <w:color w:val="auto"/>
                <w:sz w:val="20"/>
                <w:szCs w:val="20"/>
              </w:rPr>
            </w:pPr>
          </w:p>
        </w:tc>
        <w:tc>
          <w:tcPr>
            <w:tcW w:w="992" w:type="dxa"/>
            <w:vAlign w:val="center"/>
          </w:tcPr>
          <w:p>
            <w:pPr>
              <w:numPr>
                <w:ilvl w:val="0"/>
                <w:numId w:val="4"/>
              </w:numPr>
              <w:spacing w:line="240" w:lineRule="exact"/>
              <w:ind w:left="425" w:leftChars="0" w:hanging="425" w:firstLineChars="0"/>
              <w:rPr>
                <w:rFonts w:hint="eastAsia" w:ascii="仿宋_GB2312" w:hAnsi="仿宋_GB2312" w:eastAsia="仿宋_GB2312" w:cs="仿宋_GB2312"/>
                <w:color w:val="auto"/>
                <w:sz w:val="20"/>
                <w:szCs w:val="20"/>
              </w:rPr>
            </w:pPr>
          </w:p>
        </w:tc>
        <w:tc>
          <w:tcPr>
            <w:tcW w:w="1010" w:type="dxa"/>
            <w:vAlign w:val="center"/>
          </w:tcPr>
          <w:p>
            <w:pPr>
              <w:spacing w:line="240" w:lineRule="exact"/>
              <w:rPr>
                <w:rFonts w:hint="eastAsia" w:ascii="仿宋_GB2312" w:hAnsi="仿宋_GB2312" w:eastAsia="仿宋_GB2312" w:cs="仿宋_GB2312"/>
                <w:color w:val="auto"/>
                <w:sz w:val="20"/>
                <w:szCs w:val="20"/>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55" w:hRule="atLeast"/>
          <w:jc w:val="center"/>
        </w:trPr>
        <w:tc>
          <w:tcPr>
            <w:tcW w:w="758" w:type="dxa"/>
            <w:vAlign w:val="center"/>
          </w:tcPr>
          <w:p>
            <w:pPr>
              <w:numPr>
                <w:ilvl w:val="0"/>
                <w:numId w:val="1"/>
              </w:numPr>
              <w:spacing w:line="240" w:lineRule="exact"/>
              <w:ind w:left="425" w:leftChars="0" w:hanging="425" w:firstLineChars="0"/>
              <w:jc w:val="center"/>
              <w:rPr>
                <w:rFonts w:hint="eastAsia" w:ascii="仿宋_GB2312" w:hAnsi="仿宋_GB2312" w:eastAsia="仿宋_GB2312" w:cs="仿宋_GB2312"/>
                <w:color w:val="auto"/>
                <w:sz w:val="20"/>
                <w:szCs w:val="20"/>
                <w:lang w:val="en-US" w:eastAsia="zh-CN"/>
              </w:rPr>
            </w:pPr>
          </w:p>
        </w:tc>
        <w:tc>
          <w:tcPr>
            <w:tcW w:w="3108" w:type="dx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0"/>
                <w:szCs w:val="20"/>
                <w:u w:val="none"/>
                <w:lang w:val="en-US" w:eastAsia="zh-CN" w:bidi="ar"/>
              </w:rPr>
            </w:pPr>
            <w:r>
              <w:rPr>
                <w:rFonts w:hint="eastAsia" w:ascii="仿宋_GB2312" w:hAnsi="仿宋_GB2312" w:eastAsia="仿宋_GB2312" w:cs="仿宋_GB2312"/>
                <w:i w:val="0"/>
                <w:iCs w:val="0"/>
                <w:color w:val="auto"/>
                <w:kern w:val="0"/>
                <w:sz w:val="20"/>
                <w:szCs w:val="20"/>
                <w:u w:val="none"/>
                <w:lang w:val="en-US" w:eastAsia="zh-CN" w:bidi="ar"/>
              </w:rPr>
              <w:t>物业服务企业未保持消防车通道、消防车登高操作场地等标线完好有效的，责令限期改正，逾期不改正的行政处罚</w:t>
            </w:r>
          </w:p>
        </w:tc>
        <w:tc>
          <w:tcPr>
            <w:tcW w:w="1286" w:type="dxa"/>
            <w:vAlign w:val="center"/>
          </w:tcPr>
          <w:p>
            <w:pPr>
              <w:numPr>
                <w:ilvl w:val="0"/>
                <w:numId w:val="2"/>
              </w:numPr>
              <w:spacing w:line="240" w:lineRule="exact"/>
              <w:ind w:left="425" w:leftChars="0" w:hanging="425" w:firstLineChars="0"/>
              <w:rPr>
                <w:rFonts w:hint="eastAsia" w:ascii="仿宋_GB2312" w:hAnsi="仿宋_GB2312" w:eastAsia="仿宋_GB2312" w:cs="仿宋_GB2312"/>
                <w:color w:val="auto"/>
                <w:sz w:val="20"/>
                <w:szCs w:val="20"/>
              </w:rPr>
            </w:pPr>
          </w:p>
        </w:tc>
        <w:tc>
          <w:tcPr>
            <w:tcW w:w="4253" w:type="dxa"/>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0"/>
                <w:szCs w:val="20"/>
                <w:u w:val="none"/>
                <w:lang w:val="en-US" w:eastAsia="zh-CN" w:bidi="ar"/>
              </w:rPr>
            </w:pPr>
            <w:r>
              <w:rPr>
                <w:rFonts w:hint="eastAsia" w:ascii="仿宋_GB2312" w:hAnsi="仿宋_GB2312" w:eastAsia="仿宋_GB2312" w:cs="仿宋_GB2312"/>
                <w:i w:val="0"/>
                <w:iCs w:val="0"/>
                <w:color w:val="auto"/>
                <w:kern w:val="0"/>
                <w:sz w:val="20"/>
                <w:szCs w:val="20"/>
                <w:u w:val="none"/>
                <w:lang w:val="en-US" w:eastAsia="zh-CN" w:bidi="ar"/>
              </w:rPr>
              <w:t>《扬州市消防条例》第四十四条第一项  违反本条例第十八条规定，物业服务企业有下列情形之一的，由消防救援机构责令限期改正；逾期不改正的，处二千元以上二万元以下罚款：</w:t>
            </w:r>
          </w:p>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0"/>
                <w:szCs w:val="20"/>
                <w:u w:val="none"/>
                <w:lang w:val="en-US" w:eastAsia="zh-CN" w:bidi="ar"/>
              </w:rPr>
            </w:pPr>
            <w:r>
              <w:rPr>
                <w:rFonts w:hint="eastAsia" w:ascii="仿宋_GB2312" w:hAnsi="仿宋_GB2312" w:eastAsia="仿宋_GB2312" w:cs="仿宋_GB2312"/>
                <w:i w:val="0"/>
                <w:iCs w:val="0"/>
                <w:color w:val="auto"/>
                <w:kern w:val="0"/>
                <w:sz w:val="20"/>
                <w:szCs w:val="20"/>
                <w:u w:val="none"/>
                <w:lang w:val="en-US" w:eastAsia="zh-CN" w:bidi="ar"/>
              </w:rPr>
              <w:t>（一）未保持消防车通道、消防车登高操作场地等标线完好有效的</w:t>
            </w:r>
          </w:p>
        </w:tc>
        <w:tc>
          <w:tcPr>
            <w:tcW w:w="2126" w:type="dxa"/>
            <w:vAlign w:val="center"/>
          </w:tcPr>
          <w:p>
            <w:pPr>
              <w:numPr>
                <w:ilvl w:val="0"/>
                <w:numId w:val="3"/>
              </w:numPr>
              <w:spacing w:line="240" w:lineRule="exact"/>
              <w:ind w:left="425" w:leftChars="0" w:hanging="425" w:firstLineChars="0"/>
              <w:rPr>
                <w:rFonts w:hint="eastAsia" w:ascii="仿宋_GB2312" w:hAnsi="仿宋_GB2312" w:eastAsia="仿宋_GB2312" w:cs="仿宋_GB2312"/>
                <w:color w:val="auto"/>
                <w:sz w:val="20"/>
                <w:szCs w:val="20"/>
              </w:rPr>
            </w:pPr>
          </w:p>
        </w:tc>
        <w:tc>
          <w:tcPr>
            <w:tcW w:w="992" w:type="dxa"/>
            <w:vAlign w:val="center"/>
          </w:tcPr>
          <w:p>
            <w:pPr>
              <w:numPr>
                <w:ilvl w:val="0"/>
                <w:numId w:val="4"/>
              </w:numPr>
              <w:spacing w:line="240" w:lineRule="exact"/>
              <w:ind w:left="425" w:leftChars="0" w:hanging="425" w:firstLineChars="0"/>
              <w:rPr>
                <w:rFonts w:hint="eastAsia" w:ascii="仿宋_GB2312" w:hAnsi="仿宋_GB2312" w:eastAsia="仿宋_GB2312" w:cs="仿宋_GB2312"/>
                <w:color w:val="auto"/>
                <w:sz w:val="20"/>
                <w:szCs w:val="20"/>
              </w:rPr>
            </w:pPr>
          </w:p>
        </w:tc>
        <w:tc>
          <w:tcPr>
            <w:tcW w:w="1010" w:type="dxa"/>
            <w:vAlign w:val="center"/>
          </w:tcPr>
          <w:p>
            <w:pPr>
              <w:spacing w:line="240" w:lineRule="exact"/>
              <w:rPr>
                <w:rFonts w:hint="eastAsia" w:ascii="仿宋_GB2312" w:hAnsi="仿宋_GB2312" w:eastAsia="仿宋_GB2312" w:cs="仿宋_GB2312"/>
                <w:color w:val="auto"/>
                <w:sz w:val="20"/>
                <w:szCs w:val="20"/>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55" w:hRule="atLeast"/>
          <w:jc w:val="center"/>
        </w:trPr>
        <w:tc>
          <w:tcPr>
            <w:tcW w:w="758" w:type="dxa"/>
            <w:vAlign w:val="center"/>
          </w:tcPr>
          <w:p>
            <w:pPr>
              <w:numPr>
                <w:ilvl w:val="0"/>
                <w:numId w:val="1"/>
              </w:numPr>
              <w:spacing w:line="240" w:lineRule="exact"/>
              <w:ind w:left="425" w:leftChars="0" w:hanging="425" w:firstLineChars="0"/>
              <w:jc w:val="center"/>
              <w:rPr>
                <w:rFonts w:hint="eastAsia" w:ascii="仿宋_GB2312" w:hAnsi="仿宋_GB2312" w:eastAsia="仿宋_GB2312" w:cs="仿宋_GB2312"/>
                <w:color w:val="auto"/>
                <w:sz w:val="20"/>
                <w:szCs w:val="20"/>
                <w:lang w:val="en-US" w:eastAsia="zh-CN"/>
              </w:rPr>
            </w:pPr>
          </w:p>
        </w:tc>
        <w:tc>
          <w:tcPr>
            <w:tcW w:w="3108" w:type="dx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0"/>
                <w:szCs w:val="20"/>
                <w:u w:val="none"/>
                <w:lang w:val="en-US" w:eastAsia="zh-CN" w:bidi="ar"/>
              </w:rPr>
            </w:pPr>
            <w:r>
              <w:rPr>
                <w:rFonts w:hint="eastAsia" w:ascii="仿宋_GB2312" w:hAnsi="仿宋_GB2312" w:eastAsia="仿宋_GB2312" w:cs="仿宋_GB2312"/>
                <w:i w:val="0"/>
                <w:iCs w:val="0"/>
                <w:color w:val="auto"/>
                <w:kern w:val="0"/>
                <w:sz w:val="20"/>
                <w:szCs w:val="20"/>
                <w:u w:val="none"/>
                <w:lang w:val="en-US" w:eastAsia="zh-CN" w:bidi="ar"/>
              </w:rPr>
              <w:t>物业服务企业未制定消防安全制度，责令限期改正，逾期不改正的行政处罚</w:t>
            </w:r>
          </w:p>
        </w:tc>
        <w:tc>
          <w:tcPr>
            <w:tcW w:w="1286" w:type="dxa"/>
            <w:vAlign w:val="center"/>
          </w:tcPr>
          <w:p>
            <w:pPr>
              <w:numPr>
                <w:ilvl w:val="0"/>
                <w:numId w:val="2"/>
              </w:numPr>
              <w:spacing w:line="240" w:lineRule="exact"/>
              <w:ind w:left="425" w:leftChars="0" w:hanging="425" w:firstLineChars="0"/>
              <w:rPr>
                <w:rFonts w:hint="eastAsia" w:ascii="仿宋_GB2312" w:hAnsi="仿宋_GB2312" w:eastAsia="仿宋_GB2312" w:cs="仿宋_GB2312"/>
                <w:color w:val="auto"/>
                <w:sz w:val="20"/>
                <w:szCs w:val="20"/>
              </w:rPr>
            </w:pPr>
          </w:p>
        </w:tc>
        <w:tc>
          <w:tcPr>
            <w:tcW w:w="4253" w:type="dxa"/>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0"/>
                <w:szCs w:val="20"/>
                <w:u w:val="none"/>
                <w:lang w:val="en-US" w:eastAsia="zh-CN" w:bidi="ar"/>
              </w:rPr>
            </w:pPr>
            <w:r>
              <w:rPr>
                <w:rFonts w:hint="eastAsia" w:ascii="仿宋_GB2312" w:hAnsi="仿宋_GB2312" w:eastAsia="仿宋_GB2312" w:cs="仿宋_GB2312"/>
                <w:i w:val="0"/>
                <w:iCs w:val="0"/>
                <w:color w:val="auto"/>
                <w:kern w:val="0"/>
                <w:sz w:val="20"/>
                <w:szCs w:val="20"/>
                <w:u w:val="none"/>
                <w:lang w:val="en-US" w:eastAsia="zh-CN" w:bidi="ar"/>
              </w:rPr>
              <w:t>《扬州市消防条例》第四十四条第二项  违反本条例第十八条规定，物业服务企业有下列情形之一的，由消防救援机构责令限期改正；逾期不改正的，处二千元以上二万元以下罚款：（二）未制定消防安全制度的</w:t>
            </w:r>
          </w:p>
        </w:tc>
        <w:tc>
          <w:tcPr>
            <w:tcW w:w="2126" w:type="dxa"/>
            <w:vAlign w:val="center"/>
          </w:tcPr>
          <w:p>
            <w:pPr>
              <w:numPr>
                <w:ilvl w:val="0"/>
                <w:numId w:val="3"/>
              </w:numPr>
              <w:spacing w:line="240" w:lineRule="exact"/>
              <w:ind w:left="425" w:leftChars="0" w:hanging="425" w:firstLineChars="0"/>
              <w:rPr>
                <w:rFonts w:hint="eastAsia" w:ascii="仿宋_GB2312" w:hAnsi="仿宋_GB2312" w:eastAsia="仿宋_GB2312" w:cs="仿宋_GB2312"/>
                <w:color w:val="auto"/>
                <w:sz w:val="20"/>
                <w:szCs w:val="20"/>
              </w:rPr>
            </w:pPr>
          </w:p>
        </w:tc>
        <w:tc>
          <w:tcPr>
            <w:tcW w:w="992" w:type="dxa"/>
            <w:vAlign w:val="center"/>
          </w:tcPr>
          <w:p>
            <w:pPr>
              <w:numPr>
                <w:ilvl w:val="0"/>
                <w:numId w:val="4"/>
              </w:numPr>
              <w:spacing w:line="240" w:lineRule="exact"/>
              <w:ind w:left="425" w:leftChars="0" w:hanging="425" w:firstLineChars="0"/>
              <w:rPr>
                <w:rFonts w:hint="eastAsia" w:ascii="仿宋_GB2312" w:hAnsi="仿宋_GB2312" w:eastAsia="仿宋_GB2312" w:cs="仿宋_GB2312"/>
                <w:color w:val="auto"/>
                <w:sz w:val="20"/>
                <w:szCs w:val="20"/>
              </w:rPr>
            </w:pPr>
          </w:p>
        </w:tc>
        <w:tc>
          <w:tcPr>
            <w:tcW w:w="1010" w:type="dxa"/>
            <w:vAlign w:val="center"/>
          </w:tcPr>
          <w:p>
            <w:pPr>
              <w:spacing w:line="240" w:lineRule="exact"/>
              <w:rPr>
                <w:rFonts w:hint="eastAsia" w:ascii="仿宋_GB2312" w:hAnsi="仿宋_GB2312" w:eastAsia="仿宋_GB2312" w:cs="仿宋_GB2312"/>
                <w:color w:val="auto"/>
                <w:sz w:val="20"/>
                <w:szCs w:val="20"/>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55" w:hRule="atLeast"/>
          <w:jc w:val="center"/>
        </w:trPr>
        <w:tc>
          <w:tcPr>
            <w:tcW w:w="758" w:type="dxa"/>
            <w:vAlign w:val="center"/>
          </w:tcPr>
          <w:p>
            <w:pPr>
              <w:numPr>
                <w:ilvl w:val="0"/>
                <w:numId w:val="1"/>
              </w:numPr>
              <w:spacing w:line="240" w:lineRule="exact"/>
              <w:ind w:left="425" w:leftChars="0" w:hanging="425" w:firstLineChars="0"/>
              <w:jc w:val="center"/>
              <w:rPr>
                <w:rFonts w:hint="eastAsia" w:ascii="仿宋_GB2312" w:hAnsi="仿宋_GB2312" w:eastAsia="仿宋_GB2312" w:cs="仿宋_GB2312"/>
                <w:color w:val="auto"/>
                <w:sz w:val="20"/>
                <w:szCs w:val="20"/>
                <w:lang w:val="en-US" w:eastAsia="zh-CN"/>
              </w:rPr>
            </w:pPr>
          </w:p>
        </w:tc>
        <w:tc>
          <w:tcPr>
            <w:tcW w:w="3108" w:type="dx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0"/>
                <w:szCs w:val="20"/>
                <w:u w:val="none"/>
                <w:lang w:val="en-US" w:eastAsia="zh-CN" w:bidi="ar"/>
              </w:rPr>
            </w:pPr>
            <w:r>
              <w:rPr>
                <w:rFonts w:hint="eastAsia" w:ascii="仿宋_GB2312" w:hAnsi="仿宋_GB2312" w:eastAsia="仿宋_GB2312" w:cs="仿宋_GB2312"/>
                <w:i w:val="0"/>
                <w:iCs w:val="0"/>
                <w:color w:val="auto"/>
                <w:kern w:val="0"/>
                <w:sz w:val="20"/>
                <w:szCs w:val="20"/>
                <w:u w:val="none"/>
                <w:lang w:val="en-US" w:eastAsia="zh-CN" w:bidi="ar"/>
              </w:rPr>
              <w:t>物业服务企业未定期对共用部位、设施开展防火巡查、检查，责令限期改正，逾期不改正的行政处罚</w:t>
            </w:r>
          </w:p>
        </w:tc>
        <w:tc>
          <w:tcPr>
            <w:tcW w:w="1286" w:type="dxa"/>
            <w:vAlign w:val="center"/>
          </w:tcPr>
          <w:p>
            <w:pPr>
              <w:numPr>
                <w:ilvl w:val="0"/>
                <w:numId w:val="2"/>
              </w:numPr>
              <w:spacing w:line="240" w:lineRule="exact"/>
              <w:ind w:left="425" w:leftChars="0" w:hanging="425" w:firstLineChars="0"/>
              <w:rPr>
                <w:rFonts w:hint="eastAsia" w:ascii="仿宋_GB2312" w:hAnsi="仿宋_GB2312" w:eastAsia="仿宋_GB2312" w:cs="仿宋_GB2312"/>
                <w:color w:val="auto"/>
                <w:sz w:val="20"/>
                <w:szCs w:val="20"/>
              </w:rPr>
            </w:pPr>
          </w:p>
        </w:tc>
        <w:tc>
          <w:tcPr>
            <w:tcW w:w="4253" w:type="dxa"/>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0"/>
                <w:szCs w:val="20"/>
                <w:u w:val="none"/>
                <w:lang w:val="en-US" w:eastAsia="zh-CN" w:bidi="ar"/>
              </w:rPr>
            </w:pPr>
            <w:r>
              <w:rPr>
                <w:rFonts w:hint="eastAsia" w:ascii="仿宋_GB2312" w:hAnsi="仿宋_GB2312" w:eastAsia="仿宋_GB2312" w:cs="仿宋_GB2312"/>
                <w:i w:val="0"/>
                <w:iCs w:val="0"/>
                <w:color w:val="auto"/>
                <w:kern w:val="0"/>
                <w:sz w:val="20"/>
                <w:szCs w:val="20"/>
                <w:u w:val="none"/>
                <w:lang w:val="en-US" w:eastAsia="zh-CN" w:bidi="ar"/>
              </w:rPr>
              <w:t>《扬州市消防条例》第四十四条第三项  违反本条例第十八条规定，物业服务企业有下列情形之一的，由消防救援机构责令限期改正；逾期不改正的，处二千元以上二万元以下罚款：（三）未定期对共用部位、设施开展防火巡查、检查的。</w:t>
            </w:r>
          </w:p>
        </w:tc>
        <w:tc>
          <w:tcPr>
            <w:tcW w:w="2126" w:type="dxa"/>
            <w:vAlign w:val="center"/>
          </w:tcPr>
          <w:p>
            <w:pPr>
              <w:numPr>
                <w:ilvl w:val="0"/>
                <w:numId w:val="3"/>
              </w:numPr>
              <w:spacing w:line="240" w:lineRule="exact"/>
              <w:ind w:left="425" w:leftChars="0" w:hanging="425" w:firstLineChars="0"/>
              <w:rPr>
                <w:rFonts w:hint="eastAsia" w:ascii="仿宋_GB2312" w:hAnsi="仿宋_GB2312" w:eastAsia="仿宋_GB2312" w:cs="仿宋_GB2312"/>
                <w:color w:val="auto"/>
                <w:sz w:val="20"/>
                <w:szCs w:val="20"/>
              </w:rPr>
            </w:pPr>
          </w:p>
        </w:tc>
        <w:tc>
          <w:tcPr>
            <w:tcW w:w="992" w:type="dxa"/>
            <w:vAlign w:val="center"/>
          </w:tcPr>
          <w:p>
            <w:pPr>
              <w:numPr>
                <w:ilvl w:val="0"/>
                <w:numId w:val="4"/>
              </w:numPr>
              <w:spacing w:line="240" w:lineRule="exact"/>
              <w:ind w:left="425" w:leftChars="0" w:hanging="425" w:firstLineChars="0"/>
              <w:rPr>
                <w:rFonts w:hint="eastAsia" w:ascii="仿宋_GB2312" w:hAnsi="仿宋_GB2312" w:eastAsia="仿宋_GB2312" w:cs="仿宋_GB2312"/>
                <w:color w:val="auto"/>
                <w:sz w:val="20"/>
                <w:szCs w:val="20"/>
              </w:rPr>
            </w:pPr>
          </w:p>
        </w:tc>
        <w:tc>
          <w:tcPr>
            <w:tcW w:w="1010" w:type="dxa"/>
            <w:vAlign w:val="center"/>
          </w:tcPr>
          <w:p>
            <w:pPr>
              <w:spacing w:line="240" w:lineRule="exact"/>
              <w:rPr>
                <w:rFonts w:hint="eastAsia" w:ascii="仿宋_GB2312" w:hAnsi="仿宋_GB2312" w:eastAsia="仿宋_GB2312" w:cs="仿宋_GB2312"/>
                <w:color w:val="auto"/>
                <w:sz w:val="20"/>
                <w:szCs w:val="20"/>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55" w:hRule="atLeast"/>
          <w:jc w:val="center"/>
        </w:trPr>
        <w:tc>
          <w:tcPr>
            <w:tcW w:w="758" w:type="dxa"/>
            <w:vAlign w:val="center"/>
          </w:tcPr>
          <w:p>
            <w:pPr>
              <w:numPr>
                <w:ilvl w:val="0"/>
                <w:numId w:val="1"/>
              </w:numPr>
              <w:spacing w:line="240" w:lineRule="exact"/>
              <w:ind w:left="425" w:leftChars="0" w:hanging="425" w:firstLineChars="0"/>
              <w:jc w:val="center"/>
              <w:rPr>
                <w:rFonts w:hint="eastAsia" w:ascii="仿宋_GB2312" w:hAnsi="仿宋_GB2312" w:eastAsia="仿宋_GB2312" w:cs="仿宋_GB2312"/>
                <w:color w:val="auto"/>
                <w:sz w:val="20"/>
                <w:szCs w:val="20"/>
                <w:lang w:val="en-US" w:eastAsia="zh-CN"/>
              </w:rPr>
            </w:pPr>
          </w:p>
        </w:tc>
        <w:tc>
          <w:tcPr>
            <w:tcW w:w="3108" w:type="dx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0"/>
                <w:szCs w:val="20"/>
                <w:u w:val="none"/>
                <w:lang w:val="en-US" w:eastAsia="zh-CN" w:bidi="ar"/>
              </w:rPr>
            </w:pPr>
            <w:r>
              <w:rPr>
                <w:rFonts w:hint="eastAsia" w:ascii="仿宋_GB2312" w:hAnsi="仿宋_GB2312" w:eastAsia="仿宋_GB2312" w:cs="仿宋_GB2312"/>
                <w:i w:val="0"/>
                <w:iCs w:val="0"/>
                <w:color w:val="auto"/>
                <w:kern w:val="0"/>
                <w:sz w:val="20"/>
                <w:szCs w:val="20"/>
                <w:u w:val="none"/>
                <w:lang w:val="en-US" w:eastAsia="zh-CN" w:bidi="ar"/>
              </w:rPr>
              <w:t>物业服务企业未制定灭火和应急疏散预案，责令限期改正，逾期不改正的行政处罚</w:t>
            </w:r>
          </w:p>
        </w:tc>
        <w:tc>
          <w:tcPr>
            <w:tcW w:w="1286" w:type="dxa"/>
            <w:vAlign w:val="center"/>
          </w:tcPr>
          <w:p>
            <w:pPr>
              <w:numPr>
                <w:ilvl w:val="0"/>
                <w:numId w:val="2"/>
              </w:numPr>
              <w:spacing w:line="240" w:lineRule="exact"/>
              <w:ind w:left="425" w:leftChars="0" w:hanging="425" w:firstLineChars="0"/>
              <w:rPr>
                <w:rFonts w:hint="eastAsia" w:ascii="仿宋_GB2312" w:hAnsi="仿宋_GB2312" w:eastAsia="仿宋_GB2312" w:cs="仿宋_GB2312"/>
                <w:color w:val="auto"/>
                <w:sz w:val="20"/>
                <w:szCs w:val="20"/>
              </w:rPr>
            </w:pPr>
          </w:p>
        </w:tc>
        <w:tc>
          <w:tcPr>
            <w:tcW w:w="4253" w:type="dxa"/>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0"/>
                <w:szCs w:val="20"/>
                <w:u w:val="none"/>
                <w:lang w:val="en-US" w:eastAsia="zh-CN" w:bidi="ar"/>
              </w:rPr>
            </w:pPr>
            <w:r>
              <w:rPr>
                <w:rFonts w:hint="eastAsia" w:ascii="仿宋_GB2312" w:hAnsi="仿宋_GB2312" w:eastAsia="仿宋_GB2312" w:cs="仿宋_GB2312"/>
                <w:i w:val="0"/>
                <w:iCs w:val="0"/>
                <w:color w:val="auto"/>
                <w:kern w:val="0"/>
                <w:sz w:val="20"/>
                <w:szCs w:val="20"/>
                <w:u w:val="none"/>
                <w:lang w:val="en-US" w:eastAsia="zh-CN" w:bidi="ar"/>
              </w:rPr>
              <w:t>《扬州市消防条例》第四十四条第四项  违反本条例第十八条规定，物业服务企业有下列情形之一的，由消防救援机构责令限期改正；逾期不改正的，处二千元以上二万元以下罚款：（四）未制定灭火和应急疏散预案的。</w:t>
            </w:r>
          </w:p>
        </w:tc>
        <w:tc>
          <w:tcPr>
            <w:tcW w:w="2126" w:type="dxa"/>
            <w:vAlign w:val="center"/>
          </w:tcPr>
          <w:p>
            <w:pPr>
              <w:numPr>
                <w:ilvl w:val="0"/>
                <w:numId w:val="3"/>
              </w:numPr>
              <w:spacing w:line="240" w:lineRule="exact"/>
              <w:ind w:left="425" w:leftChars="0" w:hanging="425" w:firstLineChars="0"/>
              <w:rPr>
                <w:rFonts w:hint="eastAsia" w:ascii="仿宋_GB2312" w:hAnsi="仿宋_GB2312" w:eastAsia="仿宋_GB2312" w:cs="仿宋_GB2312"/>
                <w:color w:val="auto"/>
                <w:sz w:val="20"/>
                <w:szCs w:val="20"/>
              </w:rPr>
            </w:pPr>
          </w:p>
        </w:tc>
        <w:tc>
          <w:tcPr>
            <w:tcW w:w="992" w:type="dxa"/>
            <w:vAlign w:val="center"/>
          </w:tcPr>
          <w:p>
            <w:pPr>
              <w:numPr>
                <w:ilvl w:val="0"/>
                <w:numId w:val="4"/>
              </w:numPr>
              <w:spacing w:line="240" w:lineRule="exact"/>
              <w:ind w:left="425" w:leftChars="0" w:hanging="425" w:firstLineChars="0"/>
              <w:rPr>
                <w:rFonts w:hint="eastAsia" w:ascii="仿宋_GB2312" w:hAnsi="仿宋_GB2312" w:eastAsia="仿宋_GB2312" w:cs="仿宋_GB2312"/>
                <w:color w:val="auto"/>
                <w:sz w:val="20"/>
                <w:szCs w:val="20"/>
              </w:rPr>
            </w:pPr>
          </w:p>
        </w:tc>
        <w:tc>
          <w:tcPr>
            <w:tcW w:w="1010" w:type="dxa"/>
            <w:vAlign w:val="center"/>
          </w:tcPr>
          <w:p>
            <w:pPr>
              <w:spacing w:line="240" w:lineRule="exact"/>
              <w:rPr>
                <w:rFonts w:hint="eastAsia" w:ascii="仿宋_GB2312" w:hAnsi="仿宋_GB2312" w:eastAsia="仿宋_GB2312" w:cs="仿宋_GB2312"/>
                <w:color w:val="auto"/>
                <w:sz w:val="20"/>
                <w:szCs w:val="20"/>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55" w:hRule="atLeast"/>
          <w:jc w:val="center"/>
        </w:trPr>
        <w:tc>
          <w:tcPr>
            <w:tcW w:w="758" w:type="dxa"/>
            <w:vAlign w:val="center"/>
          </w:tcPr>
          <w:p>
            <w:pPr>
              <w:numPr>
                <w:ilvl w:val="0"/>
                <w:numId w:val="1"/>
              </w:numPr>
              <w:spacing w:line="240" w:lineRule="exact"/>
              <w:ind w:left="425" w:leftChars="0" w:hanging="425" w:firstLineChars="0"/>
              <w:jc w:val="center"/>
              <w:rPr>
                <w:rFonts w:hint="eastAsia" w:ascii="仿宋_GB2312" w:hAnsi="仿宋_GB2312" w:eastAsia="仿宋_GB2312" w:cs="仿宋_GB2312"/>
                <w:color w:val="auto"/>
                <w:sz w:val="20"/>
                <w:szCs w:val="20"/>
                <w:lang w:val="en-US" w:eastAsia="zh-CN"/>
              </w:rPr>
            </w:pPr>
          </w:p>
        </w:tc>
        <w:tc>
          <w:tcPr>
            <w:tcW w:w="3108" w:type="dx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0"/>
                <w:szCs w:val="20"/>
                <w:u w:val="none"/>
                <w:lang w:val="en-US" w:eastAsia="zh-CN" w:bidi="ar"/>
              </w:rPr>
            </w:pPr>
            <w:r>
              <w:rPr>
                <w:rFonts w:hint="eastAsia" w:ascii="仿宋_GB2312" w:hAnsi="仿宋_GB2312" w:eastAsia="仿宋_GB2312" w:cs="仿宋_GB2312"/>
                <w:i w:val="0"/>
                <w:iCs w:val="0"/>
                <w:color w:val="auto"/>
                <w:kern w:val="0"/>
                <w:sz w:val="20"/>
                <w:szCs w:val="20"/>
                <w:u w:val="none"/>
                <w:lang w:val="en-US" w:eastAsia="zh-CN" w:bidi="ar"/>
              </w:rPr>
              <w:t>设置消防控制室的单位未将消防设施运行状态信息接入城市消防远程监控中心监测系统，责令限期改正，逾期不改正的行政处罚</w:t>
            </w:r>
          </w:p>
        </w:tc>
        <w:tc>
          <w:tcPr>
            <w:tcW w:w="1286" w:type="dxa"/>
            <w:vAlign w:val="center"/>
          </w:tcPr>
          <w:p>
            <w:pPr>
              <w:numPr>
                <w:ilvl w:val="0"/>
                <w:numId w:val="2"/>
              </w:numPr>
              <w:spacing w:line="240" w:lineRule="exact"/>
              <w:ind w:left="425" w:leftChars="0" w:hanging="425" w:firstLineChars="0"/>
              <w:rPr>
                <w:rFonts w:hint="eastAsia" w:ascii="仿宋_GB2312" w:hAnsi="仿宋_GB2312" w:eastAsia="仿宋_GB2312" w:cs="仿宋_GB2312"/>
                <w:color w:val="auto"/>
                <w:sz w:val="20"/>
                <w:szCs w:val="20"/>
              </w:rPr>
            </w:pPr>
          </w:p>
        </w:tc>
        <w:tc>
          <w:tcPr>
            <w:tcW w:w="4253" w:type="dxa"/>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0"/>
                <w:szCs w:val="20"/>
                <w:u w:val="none"/>
                <w:lang w:val="en-US" w:eastAsia="zh-CN" w:bidi="ar"/>
              </w:rPr>
            </w:pPr>
            <w:r>
              <w:rPr>
                <w:rFonts w:hint="eastAsia" w:ascii="仿宋_GB2312" w:hAnsi="仿宋_GB2312" w:eastAsia="仿宋_GB2312" w:cs="仿宋_GB2312"/>
                <w:i w:val="0"/>
                <w:iCs w:val="0"/>
                <w:color w:val="auto"/>
                <w:kern w:val="0"/>
                <w:sz w:val="20"/>
                <w:szCs w:val="20"/>
                <w:u w:val="none"/>
                <w:lang w:val="en-US" w:eastAsia="zh-CN" w:bidi="ar"/>
              </w:rPr>
              <w:t>《扬州市消防条例》第四十五条  违反本条例第二十条规定，设置消防控制室的单位未将消防设施运行状态信息接入城市消防远程监控中心监测系统，或者擅自拆除、停用联网设施和传输网络的，由消防救援机构责令限期改正；逾期不改正的，处一千元以上五千元以下罚款。</w:t>
            </w:r>
          </w:p>
        </w:tc>
        <w:tc>
          <w:tcPr>
            <w:tcW w:w="2126" w:type="dxa"/>
            <w:vAlign w:val="center"/>
          </w:tcPr>
          <w:p>
            <w:pPr>
              <w:numPr>
                <w:ilvl w:val="0"/>
                <w:numId w:val="3"/>
              </w:numPr>
              <w:spacing w:line="240" w:lineRule="exact"/>
              <w:ind w:left="425" w:leftChars="0" w:hanging="425" w:firstLineChars="0"/>
              <w:rPr>
                <w:rFonts w:hint="eastAsia" w:ascii="仿宋_GB2312" w:hAnsi="仿宋_GB2312" w:eastAsia="仿宋_GB2312" w:cs="仿宋_GB2312"/>
                <w:color w:val="auto"/>
                <w:sz w:val="20"/>
                <w:szCs w:val="20"/>
              </w:rPr>
            </w:pPr>
          </w:p>
        </w:tc>
        <w:tc>
          <w:tcPr>
            <w:tcW w:w="992" w:type="dxa"/>
            <w:vAlign w:val="center"/>
          </w:tcPr>
          <w:p>
            <w:pPr>
              <w:numPr>
                <w:ilvl w:val="0"/>
                <w:numId w:val="4"/>
              </w:numPr>
              <w:spacing w:line="240" w:lineRule="exact"/>
              <w:ind w:left="425" w:leftChars="0" w:hanging="425" w:firstLineChars="0"/>
              <w:rPr>
                <w:rFonts w:hint="eastAsia" w:ascii="仿宋_GB2312" w:hAnsi="仿宋_GB2312" w:eastAsia="仿宋_GB2312" w:cs="仿宋_GB2312"/>
                <w:color w:val="auto"/>
                <w:sz w:val="20"/>
                <w:szCs w:val="20"/>
              </w:rPr>
            </w:pPr>
          </w:p>
        </w:tc>
        <w:tc>
          <w:tcPr>
            <w:tcW w:w="1010" w:type="dxa"/>
            <w:vAlign w:val="center"/>
          </w:tcPr>
          <w:p>
            <w:pPr>
              <w:spacing w:line="240" w:lineRule="exact"/>
              <w:rPr>
                <w:rFonts w:hint="eastAsia" w:ascii="仿宋_GB2312" w:hAnsi="仿宋_GB2312" w:eastAsia="仿宋_GB2312" w:cs="仿宋_GB2312"/>
                <w:color w:val="auto"/>
                <w:sz w:val="20"/>
                <w:szCs w:val="20"/>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55" w:hRule="atLeast"/>
          <w:jc w:val="center"/>
        </w:trPr>
        <w:tc>
          <w:tcPr>
            <w:tcW w:w="758" w:type="dxa"/>
            <w:vAlign w:val="center"/>
          </w:tcPr>
          <w:p>
            <w:pPr>
              <w:numPr>
                <w:ilvl w:val="0"/>
                <w:numId w:val="1"/>
              </w:numPr>
              <w:spacing w:line="240" w:lineRule="exact"/>
              <w:ind w:left="425" w:leftChars="0" w:hanging="425" w:firstLineChars="0"/>
              <w:jc w:val="center"/>
              <w:rPr>
                <w:rFonts w:hint="eastAsia" w:ascii="仿宋_GB2312" w:hAnsi="仿宋_GB2312" w:eastAsia="仿宋_GB2312" w:cs="仿宋_GB2312"/>
                <w:color w:val="auto"/>
                <w:sz w:val="20"/>
                <w:szCs w:val="20"/>
                <w:lang w:val="en-US" w:eastAsia="zh-CN"/>
              </w:rPr>
            </w:pPr>
          </w:p>
        </w:tc>
        <w:tc>
          <w:tcPr>
            <w:tcW w:w="3108" w:type="dx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0"/>
                <w:szCs w:val="20"/>
                <w:u w:val="none"/>
                <w:lang w:val="en-US" w:eastAsia="zh-CN" w:bidi="ar"/>
              </w:rPr>
            </w:pPr>
            <w:r>
              <w:rPr>
                <w:rFonts w:hint="eastAsia" w:ascii="仿宋_GB2312" w:hAnsi="仿宋_GB2312" w:eastAsia="仿宋_GB2312" w:cs="仿宋_GB2312"/>
                <w:i w:val="0"/>
                <w:iCs w:val="0"/>
                <w:color w:val="auto"/>
                <w:kern w:val="0"/>
                <w:sz w:val="20"/>
                <w:szCs w:val="20"/>
                <w:u w:val="none"/>
                <w:lang w:val="en-US" w:eastAsia="zh-CN" w:bidi="ar"/>
              </w:rPr>
              <w:t>擅自拆除、停用联网设施和传输网络，责令限期改正，逾期不改正的行政处罚</w:t>
            </w:r>
          </w:p>
        </w:tc>
        <w:tc>
          <w:tcPr>
            <w:tcW w:w="1286" w:type="dxa"/>
            <w:vAlign w:val="center"/>
          </w:tcPr>
          <w:p>
            <w:pPr>
              <w:numPr>
                <w:ilvl w:val="0"/>
                <w:numId w:val="2"/>
              </w:numPr>
              <w:spacing w:line="240" w:lineRule="exact"/>
              <w:ind w:left="425" w:leftChars="0" w:hanging="425" w:firstLineChars="0"/>
              <w:rPr>
                <w:rFonts w:hint="eastAsia" w:ascii="仿宋_GB2312" w:hAnsi="仿宋_GB2312" w:eastAsia="仿宋_GB2312" w:cs="仿宋_GB2312"/>
                <w:color w:val="auto"/>
                <w:sz w:val="20"/>
                <w:szCs w:val="20"/>
              </w:rPr>
            </w:pPr>
          </w:p>
        </w:tc>
        <w:tc>
          <w:tcPr>
            <w:tcW w:w="4253" w:type="dxa"/>
            <w:vAlign w:val="center"/>
          </w:tcPr>
          <w:p>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0"/>
                <w:szCs w:val="20"/>
                <w:u w:val="none"/>
                <w:lang w:val="en-US" w:eastAsia="zh-CN" w:bidi="ar"/>
              </w:rPr>
            </w:pPr>
            <w:r>
              <w:rPr>
                <w:rFonts w:hint="eastAsia" w:ascii="仿宋_GB2312" w:hAnsi="仿宋_GB2312" w:eastAsia="仿宋_GB2312" w:cs="仿宋_GB2312"/>
                <w:i w:val="0"/>
                <w:iCs w:val="0"/>
                <w:color w:val="auto"/>
                <w:kern w:val="0"/>
                <w:sz w:val="20"/>
                <w:szCs w:val="20"/>
                <w:u w:val="none"/>
                <w:lang w:val="en-US" w:eastAsia="zh-CN" w:bidi="ar"/>
              </w:rPr>
              <w:t>《扬州市消防条例》第四十五条  违反本条例第二十条规定，设置消防控制室的单位未将消防设施运行状态信息接入城市消防远程监控中心监测系统，或者擅自拆除、停用联网设施和传输网络的，由消防救援机构责令限期改正；逾期不改正的，处一千元以上五千元以下罚款。</w:t>
            </w:r>
          </w:p>
        </w:tc>
        <w:tc>
          <w:tcPr>
            <w:tcW w:w="2126" w:type="dxa"/>
            <w:vAlign w:val="center"/>
          </w:tcPr>
          <w:p>
            <w:pPr>
              <w:numPr>
                <w:ilvl w:val="0"/>
                <w:numId w:val="3"/>
              </w:numPr>
              <w:spacing w:line="240" w:lineRule="exact"/>
              <w:ind w:left="425" w:leftChars="0" w:hanging="425" w:firstLineChars="0"/>
              <w:rPr>
                <w:rFonts w:hint="eastAsia" w:ascii="仿宋_GB2312" w:hAnsi="仿宋_GB2312" w:eastAsia="仿宋_GB2312" w:cs="仿宋_GB2312"/>
                <w:color w:val="auto"/>
                <w:sz w:val="20"/>
                <w:szCs w:val="20"/>
              </w:rPr>
            </w:pPr>
          </w:p>
        </w:tc>
        <w:tc>
          <w:tcPr>
            <w:tcW w:w="992" w:type="dxa"/>
            <w:vAlign w:val="center"/>
          </w:tcPr>
          <w:p>
            <w:pPr>
              <w:numPr>
                <w:ilvl w:val="0"/>
                <w:numId w:val="4"/>
              </w:numPr>
              <w:spacing w:line="240" w:lineRule="exact"/>
              <w:ind w:left="425" w:leftChars="0" w:hanging="425" w:firstLineChars="0"/>
              <w:rPr>
                <w:rFonts w:hint="eastAsia" w:ascii="仿宋_GB2312" w:hAnsi="仿宋_GB2312" w:eastAsia="仿宋_GB2312" w:cs="仿宋_GB2312"/>
                <w:color w:val="auto"/>
                <w:sz w:val="20"/>
                <w:szCs w:val="20"/>
              </w:rPr>
            </w:pPr>
          </w:p>
        </w:tc>
        <w:tc>
          <w:tcPr>
            <w:tcW w:w="1010" w:type="dxa"/>
            <w:vAlign w:val="center"/>
          </w:tcPr>
          <w:p>
            <w:pPr>
              <w:spacing w:line="240" w:lineRule="exact"/>
              <w:rPr>
                <w:rFonts w:hint="eastAsia" w:ascii="仿宋_GB2312" w:hAnsi="仿宋_GB2312" w:eastAsia="仿宋_GB2312" w:cs="仿宋_GB2312"/>
                <w:color w:val="auto"/>
                <w:sz w:val="20"/>
                <w:szCs w:val="20"/>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55" w:hRule="atLeast"/>
          <w:jc w:val="center"/>
        </w:trPr>
        <w:tc>
          <w:tcPr>
            <w:tcW w:w="758" w:type="dxa"/>
            <w:vAlign w:val="center"/>
          </w:tcPr>
          <w:p>
            <w:pPr>
              <w:numPr>
                <w:ilvl w:val="0"/>
                <w:numId w:val="1"/>
              </w:numPr>
              <w:spacing w:line="240" w:lineRule="exact"/>
              <w:ind w:left="425" w:leftChars="0" w:hanging="425" w:firstLineChars="0"/>
              <w:jc w:val="center"/>
              <w:rPr>
                <w:rFonts w:hint="eastAsia" w:ascii="仿宋_GB2312" w:hAnsi="仿宋_GB2312" w:eastAsia="仿宋_GB2312" w:cs="仿宋_GB2312"/>
                <w:color w:val="auto"/>
                <w:sz w:val="20"/>
                <w:szCs w:val="20"/>
                <w:lang w:val="en-US" w:eastAsia="zh-CN"/>
              </w:rPr>
            </w:pPr>
          </w:p>
        </w:tc>
        <w:tc>
          <w:tcPr>
            <w:tcW w:w="3108" w:type="dx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0"/>
                <w:szCs w:val="20"/>
                <w:u w:val="none"/>
                <w:lang w:val="en-US" w:eastAsia="zh-CN" w:bidi="ar"/>
              </w:rPr>
            </w:pPr>
            <w:r>
              <w:rPr>
                <w:rFonts w:hint="eastAsia" w:ascii="仿宋_GB2312" w:hAnsi="仿宋_GB2312" w:eastAsia="仿宋_GB2312" w:cs="仿宋_GB2312"/>
                <w:i w:val="0"/>
                <w:iCs w:val="0"/>
                <w:color w:val="auto"/>
                <w:kern w:val="0"/>
                <w:sz w:val="20"/>
                <w:szCs w:val="20"/>
                <w:u w:val="none"/>
                <w:lang w:val="en-US" w:eastAsia="zh-CN" w:bidi="ar"/>
              </w:rPr>
              <w:t>公众聚集场所投入使用、营业前消防安全检查（承诺制）</w:t>
            </w:r>
          </w:p>
        </w:tc>
        <w:tc>
          <w:tcPr>
            <w:tcW w:w="1286" w:type="dxa"/>
            <w:vAlign w:val="center"/>
          </w:tcPr>
          <w:p>
            <w:pPr>
              <w:spacing w:line="240" w:lineRule="exact"/>
              <w:rPr>
                <w:rFonts w:hint="eastAsia" w:ascii="仿宋_GB2312" w:hAnsi="仿宋_GB2312" w:eastAsia="仿宋_GB2312" w:cs="仿宋_GB2312"/>
                <w:color w:val="auto"/>
                <w:sz w:val="20"/>
                <w:szCs w:val="20"/>
                <w:lang w:val="en-US" w:eastAsia="zh-CN"/>
              </w:rPr>
            </w:pPr>
            <w:r>
              <w:rPr>
                <w:rFonts w:hint="eastAsia" w:ascii="仿宋_GB2312" w:hAnsi="仿宋_GB2312" w:eastAsia="仿宋_GB2312" w:cs="仿宋_GB2312"/>
                <w:color w:val="auto"/>
                <w:sz w:val="20"/>
                <w:szCs w:val="20"/>
                <w:lang w:val="en-US" w:eastAsia="zh-CN"/>
              </w:rPr>
              <w:t>行政许可</w:t>
            </w:r>
          </w:p>
        </w:tc>
        <w:tc>
          <w:tcPr>
            <w:tcW w:w="4253" w:type="dxa"/>
            <w:vAlign w:val="center"/>
          </w:tcPr>
          <w:p>
            <w:pPr>
              <w:spacing w:line="240" w:lineRule="exact"/>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《中华人民共和国消防法》第十五条 公众聚集场所在投入使用、营业前消防安全检查实行告知承诺制。公众聚集场所在投入使用、营业前，建设单位或者使用单位应当向场所所在地的县级以上地方人民政府消防救援机构申请消防安全检查，作出场所符合消防技术标准和管理规定的承诺，并对其承诺和材料的真实性负责。</w:t>
            </w:r>
          </w:p>
          <w:p>
            <w:pPr>
              <w:spacing w:line="240" w:lineRule="exact"/>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《中华人民共和国消防法》第七十三条第三款  公众聚集场所，是指宾馆、饭店、商场、集贸市场、客运车站候车室、客运码头候船厅、民用机场航站楼、体育场馆、会堂以及公共娱乐场所等。</w:t>
            </w:r>
          </w:p>
        </w:tc>
        <w:tc>
          <w:tcPr>
            <w:tcW w:w="2126" w:type="dxa"/>
            <w:vAlign w:val="center"/>
          </w:tcPr>
          <w:p>
            <w:pPr>
              <w:spacing w:line="240" w:lineRule="exact"/>
              <w:rPr>
                <w:rFonts w:hint="eastAsia" w:ascii="仿宋_GB2312" w:hAnsi="仿宋_GB2312" w:eastAsia="仿宋_GB2312" w:cs="仿宋_GB2312"/>
                <w:color w:val="auto"/>
                <w:sz w:val="20"/>
                <w:szCs w:val="20"/>
                <w:lang w:val="en-US" w:eastAsia="zh-CN"/>
              </w:rPr>
            </w:pPr>
            <w:r>
              <w:rPr>
                <w:rFonts w:hint="eastAsia" w:ascii="仿宋_GB2312" w:hAnsi="仿宋_GB2312" w:eastAsia="仿宋_GB2312" w:cs="仿宋_GB2312"/>
                <w:color w:val="auto"/>
                <w:sz w:val="20"/>
                <w:szCs w:val="20"/>
                <w:lang w:val="en-US" w:eastAsia="zh-CN"/>
              </w:rPr>
              <w:t>扬州市消防救援支队</w:t>
            </w:r>
          </w:p>
        </w:tc>
        <w:tc>
          <w:tcPr>
            <w:tcW w:w="992" w:type="dxa"/>
            <w:vAlign w:val="center"/>
          </w:tcPr>
          <w:p>
            <w:pPr>
              <w:spacing w:line="240" w:lineRule="exact"/>
              <w:rPr>
                <w:rFonts w:hint="eastAsia" w:ascii="仿宋_GB2312" w:hAnsi="仿宋_GB2312" w:eastAsia="仿宋_GB2312" w:cs="仿宋_GB2312"/>
                <w:color w:val="auto"/>
                <w:sz w:val="20"/>
                <w:szCs w:val="20"/>
                <w:lang w:val="en-US" w:eastAsia="zh-CN"/>
              </w:rPr>
            </w:pPr>
            <w:r>
              <w:rPr>
                <w:rFonts w:hint="eastAsia" w:ascii="仿宋_GB2312" w:hAnsi="仿宋_GB2312" w:eastAsia="仿宋_GB2312" w:cs="仿宋_GB2312"/>
                <w:color w:val="auto"/>
                <w:sz w:val="20"/>
                <w:szCs w:val="20"/>
                <w:lang w:val="en-US" w:eastAsia="zh-CN"/>
              </w:rPr>
              <w:t>市、县</w:t>
            </w:r>
          </w:p>
        </w:tc>
        <w:tc>
          <w:tcPr>
            <w:tcW w:w="1010" w:type="dxa"/>
            <w:vAlign w:val="center"/>
          </w:tcPr>
          <w:p>
            <w:pPr>
              <w:spacing w:line="240" w:lineRule="exact"/>
              <w:rPr>
                <w:rFonts w:hint="eastAsia" w:ascii="仿宋_GB2312" w:hAnsi="仿宋_GB2312" w:eastAsia="仿宋_GB2312" w:cs="仿宋_GB2312"/>
                <w:color w:val="auto"/>
                <w:sz w:val="20"/>
                <w:szCs w:val="20"/>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55" w:hRule="atLeast"/>
          <w:jc w:val="center"/>
        </w:trPr>
        <w:tc>
          <w:tcPr>
            <w:tcW w:w="758" w:type="dxa"/>
            <w:vAlign w:val="center"/>
          </w:tcPr>
          <w:p>
            <w:pPr>
              <w:numPr>
                <w:ilvl w:val="0"/>
                <w:numId w:val="1"/>
              </w:numPr>
              <w:spacing w:line="240" w:lineRule="exact"/>
              <w:ind w:left="425" w:leftChars="0" w:hanging="425" w:firstLineChars="0"/>
              <w:jc w:val="center"/>
              <w:rPr>
                <w:rFonts w:hint="eastAsia" w:ascii="仿宋_GB2312" w:hAnsi="仿宋_GB2312" w:eastAsia="仿宋_GB2312" w:cs="仿宋_GB2312"/>
                <w:color w:val="auto"/>
                <w:sz w:val="20"/>
                <w:szCs w:val="20"/>
                <w:lang w:val="en-US" w:eastAsia="zh-CN"/>
              </w:rPr>
            </w:pPr>
          </w:p>
        </w:tc>
        <w:tc>
          <w:tcPr>
            <w:tcW w:w="3108" w:type="dx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0"/>
                <w:szCs w:val="20"/>
                <w:u w:val="none"/>
                <w:lang w:val="en-US" w:eastAsia="zh-CN" w:bidi="ar"/>
              </w:rPr>
            </w:pPr>
            <w:r>
              <w:rPr>
                <w:rFonts w:hint="eastAsia" w:ascii="仿宋_GB2312" w:hAnsi="仿宋_GB2312" w:eastAsia="仿宋_GB2312" w:cs="仿宋_GB2312"/>
                <w:i w:val="0"/>
                <w:iCs w:val="0"/>
                <w:color w:val="auto"/>
                <w:kern w:val="0"/>
                <w:sz w:val="20"/>
                <w:szCs w:val="20"/>
                <w:u w:val="none"/>
                <w:lang w:val="en-US" w:eastAsia="zh-CN" w:bidi="ar"/>
              </w:rPr>
              <w:t>公众聚集场所投入使用、营业前消防安全检查（非承诺制）</w:t>
            </w:r>
          </w:p>
        </w:tc>
        <w:tc>
          <w:tcPr>
            <w:tcW w:w="1286" w:type="dxa"/>
            <w:vAlign w:val="center"/>
          </w:tcPr>
          <w:p>
            <w:pPr>
              <w:spacing w:line="240" w:lineRule="exact"/>
              <w:rPr>
                <w:rFonts w:hint="eastAsia" w:ascii="仿宋_GB2312" w:hAnsi="仿宋_GB2312" w:eastAsia="仿宋_GB2312" w:cs="仿宋_GB2312"/>
                <w:color w:val="auto"/>
                <w:sz w:val="20"/>
                <w:szCs w:val="20"/>
                <w:lang w:val="en-US" w:eastAsia="zh-CN"/>
              </w:rPr>
            </w:pPr>
            <w:r>
              <w:rPr>
                <w:rFonts w:hint="eastAsia" w:ascii="仿宋_GB2312" w:hAnsi="仿宋_GB2312" w:eastAsia="仿宋_GB2312" w:cs="仿宋_GB2312"/>
                <w:color w:val="auto"/>
                <w:sz w:val="20"/>
                <w:szCs w:val="20"/>
                <w:lang w:val="en-US" w:eastAsia="zh-CN"/>
              </w:rPr>
              <w:t>行政许可</w:t>
            </w:r>
          </w:p>
        </w:tc>
        <w:tc>
          <w:tcPr>
            <w:tcW w:w="4253" w:type="dxa"/>
            <w:vAlign w:val="center"/>
          </w:tcPr>
          <w:p>
            <w:pPr>
              <w:spacing w:line="240" w:lineRule="exact"/>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rPr>
              <w:t>《中华人民共和国消防法》第十五条  申请人不采用告知承诺方式办理的，消防救援机构应当自受理申请之日起十个工作日内，根据消防技术标准和管理规定，对该场所进行消防安全检查。经检查符合消防安全要求的，应当予以许可。</w:t>
            </w:r>
          </w:p>
        </w:tc>
        <w:tc>
          <w:tcPr>
            <w:tcW w:w="2126" w:type="dxa"/>
            <w:vAlign w:val="center"/>
          </w:tcPr>
          <w:p>
            <w:pPr>
              <w:spacing w:line="240" w:lineRule="exact"/>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lang w:val="en-US" w:eastAsia="zh-CN"/>
              </w:rPr>
              <w:t>扬州市消防救援支队</w:t>
            </w:r>
          </w:p>
        </w:tc>
        <w:tc>
          <w:tcPr>
            <w:tcW w:w="992" w:type="dxa"/>
            <w:vAlign w:val="center"/>
          </w:tcPr>
          <w:p>
            <w:pPr>
              <w:spacing w:line="240" w:lineRule="exact"/>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lang w:val="en-US" w:eastAsia="zh-CN"/>
              </w:rPr>
              <w:t>市、县</w:t>
            </w:r>
          </w:p>
        </w:tc>
        <w:tc>
          <w:tcPr>
            <w:tcW w:w="1010" w:type="dxa"/>
            <w:vAlign w:val="center"/>
          </w:tcPr>
          <w:p>
            <w:pPr>
              <w:spacing w:line="240" w:lineRule="exact"/>
              <w:rPr>
                <w:rFonts w:hint="eastAsia" w:ascii="仿宋_GB2312" w:hAnsi="仿宋_GB2312" w:eastAsia="仿宋_GB2312" w:cs="仿宋_GB2312"/>
                <w:color w:val="auto"/>
                <w:sz w:val="20"/>
                <w:szCs w:val="20"/>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55" w:hRule="atLeast"/>
          <w:jc w:val="center"/>
        </w:trPr>
        <w:tc>
          <w:tcPr>
            <w:tcW w:w="758" w:type="dxa"/>
            <w:vAlign w:val="center"/>
          </w:tcPr>
          <w:p>
            <w:pPr>
              <w:numPr>
                <w:ilvl w:val="0"/>
                <w:numId w:val="1"/>
              </w:numPr>
              <w:spacing w:line="240" w:lineRule="exact"/>
              <w:ind w:left="425" w:leftChars="0" w:hanging="425" w:firstLineChars="0"/>
              <w:jc w:val="center"/>
              <w:rPr>
                <w:rFonts w:hint="eastAsia" w:ascii="仿宋_GB2312" w:hAnsi="仿宋_GB2312" w:eastAsia="仿宋_GB2312" w:cs="仿宋_GB2312"/>
                <w:color w:val="auto"/>
                <w:sz w:val="20"/>
                <w:szCs w:val="20"/>
                <w:lang w:val="en-US" w:eastAsia="zh-CN"/>
              </w:rPr>
            </w:pPr>
          </w:p>
        </w:tc>
        <w:tc>
          <w:tcPr>
            <w:tcW w:w="3108" w:type="dx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0"/>
                <w:szCs w:val="20"/>
                <w:u w:val="none"/>
                <w:lang w:val="en-US" w:eastAsia="zh-CN" w:bidi="ar"/>
              </w:rPr>
            </w:pPr>
            <w:r>
              <w:rPr>
                <w:rFonts w:hint="eastAsia" w:ascii="仿宋_GB2312" w:hAnsi="仿宋_GB2312" w:eastAsia="仿宋_GB2312" w:cs="仿宋_GB2312"/>
                <w:i w:val="0"/>
                <w:iCs w:val="0"/>
                <w:color w:val="auto"/>
                <w:kern w:val="0"/>
                <w:sz w:val="20"/>
                <w:szCs w:val="20"/>
                <w:u w:val="none"/>
                <w:lang w:val="en-US" w:eastAsia="zh-CN" w:bidi="ar"/>
              </w:rPr>
              <w:t>临时查封</w:t>
            </w:r>
          </w:p>
        </w:tc>
        <w:tc>
          <w:tcPr>
            <w:tcW w:w="1286" w:type="dxa"/>
            <w:vAlign w:val="center"/>
          </w:tcPr>
          <w:p>
            <w:pPr>
              <w:spacing w:line="240" w:lineRule="exact"/>
              <w:rPr>
                <w:rFonts w:hint="eastAsia" w:ascii="仿宋_GB2312" w:hAnsi="仿宋_GB2312" w:eastAsia="仿宋_GB2312" w:cs="仿宋_GB2312"/>
                <w:color w:val="auto"/>
                <w:sz w:val="20"/>
                <w:szCs w:val="20"/>
                <w:lang w:val="en-US" w:eastAsia="zh-CN"/>
              </w:rPr>
            </w:pPr>
            <w:r>
              <w:rPr>
                <w:rFonts w:hint="eastAsia" w:ascii="仿宋_GB2312" w:hAnsi="仿宋_GB2312" w:eastAsia="仿宋_GB2312" w:cs="仿宋_GB2312"/>
                <w:color w:val="auto"/>
                <w:sz w:val="20"/>
                <w:szCs w:val="20"/>
                <w:lang w:val="en-US" w:eastAsia="zh-CN"/>
              </w:rPr>
              <w:t>行政强制</w:t>
            </w:r>
          </w:p>
        </w:tc>
        <w:tc>
          <w:tcPr>
            <w:tcW w:w="4253" w:type="dxa"/>
            <w:vAlign w:val="center"/>
          </w:tcPr>
          <w:p>
            <w:pPr>
              <w:keepNext w:val="0"/>
              <w:keepLines w:val="0"/>
              <w:widowControl/>
              <w:suppressLineNumbers w:val="0"/>
              <w:jc w:val="left"/>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《中华人民共和国消防法》第五十四条  消防救援机构在消防监督检查中发现火灾隐患的，应当通知有关单位或者个人立即采取措施消除隐患；不及时消除隐患可能严重威胁公共安全的，消防救援机构应当依照规定对危险部位或者场所采取临时查封措施。</w:t>
            </w:r>
          </w:p>
        </w:tc>
        <w:tc>
          <w:tcPr>
            <w:tcW w:w="2126" w:type="dxa"/>
            <w:vAlign w:val="center"/>
          </w:tcPr>
          <w:p>
            <w:pPr>
              <w:spacing w:line="240" w:lineRule="exact"/>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lang w:val="en-US" w:eastAsia="zh-CN"/>
              </w:rPr>
              <w:t>扬州市消防救援支队</w:t>
            </w:r>
          </w:p>
        </w:tc>
        <w:tc>
          <w:tcPr>
            <w:tcW w:w="992" w:type="dxa"/>
            <w:vAlign w:val="center"/>
          </w:tcPr>
          <w:p>
            <w:pPr>
              <w:spacing w:line="240" w:lineRule="exact"/>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lang w:val="en-US" w:eastAsia="zh-CN"/>
              </w:rPr>
              <w:t>市、县</w:t>
            </w:r>
          </w:p>
        </w:tc>
        <w:tc>
          <w:tcPr>
            <w:tcW w:w="1010" w:type="dxa"/>
            <w:vAlign w:val="center"/>
          </w:tcPr>
          <w:p>
            <w:pPr>
              <w:spacing w:line="240" w:lineRule="exact"/>
              <w:rPr>
                <w:rFonts w:hint="eastAsia" w:ascii="仿宋_GB2312" w:hAnsi="仿宋_GB2312" w:eastAsia="仿宋_GB2312" w:cs="仿宋_GB2312"/>
                <w:color w:val="auto"/>
                <w:sz w:val="20"/>
                <w:szCs w:val="20"/>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55" w:hRule="atLeast"/>
          <w:jc w:val="center"/>
        </w:trPr>
        <w:tc>
          <w:tcPr>
            <w:tcW w:w="758" w:type="dxa"/>
            <w:vAlign w:val="center"/>
          </w:tcPr>
          <w:p>
            <w:pPr>
              <w:numPr>
                <w:ilvl w:val="0"/>
                <w:numId w:val="1"/>
              </w:numPr>
              <w:spacing w:line="240" w:lineRule="exact"/>
              <w:ind w:left="425" w:leftChars="0" w:hanging="425" w:firstLineChars="0"/>
              <w:jc w:val="center"/>
              <w:rPr>
                <w:rFonts w:hint="eastAsia" w:ascii="仿宋_GB2312" w:hAnsi="仿宋_GB2312" w:eastAsia="仿宋_GB2312" w:cs="仿宋_GB2312"/>
                <w:color w:val="auto"/>
                <w:sz w:val="20"/>
                <w:szCs w:val="20"/>
                <w:lang w:val="en-US" w:eastAsia="zh-CN"/>
              </w:rPr>
            </w:pPr>
          </w:p>
        </w:tc>
        <w:tc>
          <w:tcPr>
            <w:tcW w:w="3108" w:type="dx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0"/>
                <w:szCs w:val="20"/>
                <w:u w:val="none"/>
                <w:lang w:val="en-US" w:eastAsia="zh-CN" w:bidi="ar"/>
              </w:rPr>
            </w:pPr>
            <w:r>
              <w:rPr>
                <w:rFonts w:hint="eastAsia" w:ascii="仿宋_GB2312" w:hAnsi="仿宋_GB2312" w:eastAsia="仿宋_GB2312" w:cs="仿宋_GB2312"/>
                <w:i w:val="0"/>
                <w:iCs w:val="0"/>
                <w:color w:val="auto"/>
                <w:kern w:val="0"/>
                <w:sz w:val="20"/>
                <w:szCs w:val="20"/>
                <w:u w:val="none"/>
                <w:lang w:val="en-US" w:eastAsia="zh-CN" w:bidi="ar"/>
              </w:rPr>
              <w:t>强制清除或者拆除相关障碍物、妨碍物</w:t>
            </w:r>
          </w:p>
        </w:tc>
        <w:tc>
          <w:tcPr>
            <w:tcW w:w="1286" w:type="dxa"/>
            <w:vAlign w:val="center"/>
          </w:tcPr>
          <w:p>
            <w:pPr>
              <w:spacing w:line="240" w:lineRule="exact"/>
              <w:rPr>
                <w:rFonts w:hint="eastAsia" w:ascii="仿宋_GB2312" w:hAnsi="仿宋_GB2312" w:eastAsia="仿宋_GB2312" w:cs="仿宋_GB2312"/>
                <w:color w:val="auto"/>
                <w:sz w:val="20"/>
                <w:szCs w:val="20"/>
                <w:lang w:val="en-US" w:eastAsia="zh-CN"/>
              </w:rPr>
            </w:pPr>
            <w:r>
              <w:rPr>
                <w:rFonts w:hint="eastAsia" w:ascii="仿宋_GB2312" w:hAnsi="仿宋_GB2312" w:eastAsia="仿宋_GB2312" w:cs="仿宋_GB2312"/>
                <w:color w:val="auto"/>
                <w:sz w:val="20"/>
                <w:szCs w:val="20"/>
                <w:lang w:val="en-US" w:eastAsia="zh-CN"/>
              </w:rPr>
              <w:t>行政强制</w:t>
            </w:r>
          </w:p>
        </w:tc>
        <w:tc>
          <w:tcPr>
            <w:tcW w:w="4253" w:type="dxa"/>
            <w:vAlign w:val="center"/>
          </w:tcPr>
          <w:p>
            <w:pPr>
              <w:keepNext w:val="0"/>
              <w:keepLines w:val="0"/>
              <w:widowControl/>
              <w:suppressLineNumbers w:val="0"/>
              <w:jc w:val="left"/>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 xml:space="preserve">《中华人民共和国消防法》第六十条第一款第三项 占用、堵塞、封闭疏散通道、安全出口或者有其他妨碍安全疏散行为的；《中华人民共和国消防法》第六十条第一款第四项  埋压、圈占、遮挡消火栓或者占用防火间距的；《中华人民共和国消防法》第六十条第一款第五项  占用、堵塞、封闭消防车通道，妨碍消防车通行的；《中华人民共和国消防法》第六十条第一款第六项 人员密集场所在门窗上设置影响逃生和灭火救援的障碍物的，经责令改正拒不改正的，强制执行，所需费用由违法行为人承担。  </w:t>
            </w:r>
          </w:p>
        </w:tc>
        <w:tc>
          <w:tcPr>
            <w:tcW w:w="2126" w:type="dxa"/>
            <w:vAlign w:val="center"/>
          </w:tcPr>
          <w:p>
            <w:pPr>
              <w:spacing w:line="240" w:lineRule="exact"/>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lang w:val="en-US" w:eastAsia="zh-CN"/>
              </w:rPr>
              <w:t>扬州市消防救援支队</w:t>
            </w:r>
          </w:p>
        </w:tc>
        <w:tc>
          <w:tcPr>
            <w:tcW w:w="992" w:type="dxa"/>
            <w:vAlign w:val="center"/>
          </w:tcPr>
          <w:p>
            <w:pPr>
              <w:spacing w:line="240" w:lineRule="exact"/>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lang w:val="en-US" w:eastAsia="zh-CN"/>
              </w:rPr>
              <w:t>市、县</w:t>
            </w:r>
          </w:p>
        </w:tc>
        <w:tc>
          <w:tcPr>
            <w:tcW w:w="1010" w:type="dxa"/>
            <w:vAlign w:val="center"/>
          </w:tcPr>
          <w:p>
            <w:pPr>
              <w:spacing w:line="240" w:lineRule="exact"/>
              <w:rPr>
                <w:rFonts w:hint="eastAsia" w:ascii="仿宋_GB2312" w:hAnsi="仿宋_GB2312" w:eastAsia="仿宋_GB2312" w:cs="仿宋_GB2312"/>
                <w:color w:val="auto"/>
                <w:sz w:val="20"/>
                <w:szCs w:val="20"/>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55" w:hRule="atLeast"/>
          <w:jc w:val="center"/>
        </w:trPr>
        <w:tc>
          <w:tcPr>
            <w:tcW w:w="758" w:type="dxa"/>
            <w:vAlign w:val="center"/>
          </w:tcPr>
          <w:p>
            <w:pPr>
              <w:numPr>
                <w:ilvl w:val="0"/>
                <w:numId w:val="1"/>
              </w:numPr>
              <w:spacing w:line="240" w:lineRule="exact"/>
              <w:ind w:left="425" w:leftChars="0" w:hanging="425" w:firstLineChars="0"/>
              <w:jc w:val="center"/>
              <w:rPr>
                <w:rFonts w:hint="eastAsia" w:ascii="仿宋_GB2312" w:hAnsi="仿宋_GB2312" w:eastAsia="仿宋_GB2312" w:cs="仿宋_GB2312"/>
                <w:color w:val="auto"/>
                <w:sz w:val="20"/>
                <w:szCs w:val="20"/>
                <w:lang w:val="en-US" w:eastAsia="zh-CN"/>
              </w:rPr>
            </w:pPr>
          </w:p>
        </w:tc>
        <w:tc>
          <w:tcPr>
            <w:tcW w:w="3108" w:type="dx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0"/>
                <w:szCs w:val="20"/>
                <w:u w:val="none"/>
                <w:lang w:val="en-US" w:eastAsia="zh-CN" w:bidi="ar"/>
              </w:rPr>
            </w:pPr>
            <w:r>
              <w:rPr>
                <w:rFonts w:hint="eastAsia" w:ascii="仿宋_GB2312" w:hAnsi="仿宋_GB2312" w:eastAsia="仿宋_GB2312" w:cs="仿宋_GB2312"/>
                <w:i w:val="0"/>
                <w:iCs w:val="0"/>
                <w:color w:val="auto"/>
                <w:kern w:val="0"/>
                <w:sz w:val="20"/>
                <w:szCs w:val="20"/>
                <w:u w:val="none"/>
                <w:lang w:val="en-US" w:eastAsia="zh-CN" w:bidi="ar"/>
              </w:rPr>
              <w:t>对逾期不执行停产停业、停止使用、停止施工决定的强制执行</w:t>
            </w:r>
          </w:p>
        </w:tc>
        <w:tc>
          <w:tcPr>
            <w:tcW w:w="1286" w:type="dxa"/>
            <w:vAlign w:val="center"/>
          </w:tcPr>
          <w:p>
            <w:pPr>
              <w:spacing w:line="240" w:lineRule="exact"/>
              <w:rPr>
                <w:rFonts w:hint="eastAsia" w:ascii="仿宋_GB2312" w:hAnsi="仿宋_GB2312" w:eastAsia="仿宋_GB2312" w:cs="仿宋_GB2312"/>
                <w:color w:val="auto"/>
                <w:sz w:val="20"/>
                <w:szCs w:val="20"/>
                <w:lang w:val="en-US" w:eastAsia="zh-CN"/>
              </w:rPr>
            </w:pPr>
            <w:r>
              <w:rPr>
                <w:rFonts w:hint="eastAsia" w:ascii="仿宋_GB2312" w:hAnsi="仿宋_GB2312" w:eastAsia="仿宋_GB2312" w:cs="仿宋_GB2312"/>
                <w:color w:val="auto"/>
                <w:sz w:val="20"/>
                <w:szCs w:val="20"/>
                <w:lang w:val="en-US" w:eastAsia="zh-CN"/>
              </w:rPr>
              <w:t>行政强制</w:t>
            </w:r>
          </w:p>
        </w:tc>
        <w:tc>
          <w:tcPr>
            <w:tcW w:w="4253" w:type="dxa"/>
            <w:vAlign w:val="center"/>
          </w:tcPr>
          <w:p>
            <w:pPr>
              <w:keepNext w:val="0"/>
              <w:keepLines w:val="0"/>
              <w:widowControl/>
              <w:suppressLineNumbers w:val="0"/>
              <w:jc w:val="left"/>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《中华人民共和国消防法》第七十条  对逾期不执行停产停业、停止使用、停止施工决定的，由作出决定的部门或者机构强制执行。</w:t>
            </w:r>
          </w:p>
        </w:tc>
        <w:tc>
          <w:tcPr>
            <w:tcW w:w="2126" w:type="dxa"/>
            <w:vAlign w:val="center"/>
          </w:tcPr>
          <w:p>
            <w:pPr>
              <w:spacing w:line="240" w:lineRule="exact"/>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lang w:val="en-US" w:eastAsia="zh-CN"/>
              </w:rPr>
              <w:t>扬州市消防救援支队</w:t>
            </w:r>
          </w:p>
        </w:tc>
        <w:tc>
          <w:tcPr>
            <w:tcW w:w="992" w:type="dxa"/>
            <w:vAlign w:val="center"/>
          </w:tcPr>
          <w:p>
            <w:pPr>
              <w:spacing w:line="240" w:lineRule="exact"/>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lang w:val="en-US" w:eastAsia="zh-CN"/>
              </w:rPr>
              <w:t>市、县</w:t>
            </w:r>
          </w:p>
        </w:tc>
        <w:tc>
          <w:tcPr>
            <w:tcW w:w="1010" w:type="dxa"/>
            <w:vAlign w:val="center"/>
          </w:tcPr>
          <w:p>
            <w:pPr>
              <w:spacing w:line="240" w:lineRule="exact"/>
              <w:rPr>
                <w:rFonts w:hint="eastAsia" w:ascii="仿宋_GB2312" w:hAnsi="仿宋_GB2312" w:eastAsia="仿宋_GB2312" w:cs="仿宋_GB2312"/>
                <w:color w:val="auto"/>
                <w:sz w:val="20"/>
                <w:szCs w:val="20"/>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55" w:hRule="atLeast"/>
          <w:jc w:val="center"/>
        </w:trPr>
        <w:tc>
          <w:tcPr>
            <w:tcW w:w="758" w:type="dxa"/>
            <w:vAlign w:val="center"/>
          </w:tcPr>
          <w:p>
            <w:pPr>
              <w:numPr>
                <w:ilvl w:val="0"/>
                <w:numId w:val="1"/>
              </w:numPr>
              <w:spacing w:line="240" w:lineRule="exact"/>
              <w:ind w:left="425" w:leftChars="0" w:hanging="425" w:firstLineChars="0"/>
              <w:jc w:val="center"/>
              <w:rPr>
                <w:rFonts w:hint="eastAsia" w:ascii="仿宋_GB2312" w:hAnsi="仿宋_GB2312" w:eastAsia="仿宋_GB2312" w:cs="仿宋_GB2312"/>
                <w:color w:val="auto"/>
                <w:sz w:val="20"/>
                <w:szCs w:val="20"/>
                <w:lang w:val="en-US" w:eastAsia="zh-CN"/>
              </w:rPr>
            </w:pPr>
          </w:p>
        </w:tc>
        <w:tc>
          <w:tcPr>
            <w:tcW w:w="3108" w:type="dx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0"/>
                <w:szCs w:val="20"/>
                <w:u w:val="none"/>
                <w:lang w:val="en-US" w:eastAsia="zh-CN" w:bidi="ar"/>
              </w:rPr>
            </w:pPr>
            <w:r>
              <w:rPr>
                <w:rFonts w:hint="eastAsia" w:ascii="仿宋_GB2312" w:hAnsi="仿宋_GB2312" w:eastAsia="仿宋_GB2312" w:cs="仿宋_GB2312"/>
                <w:i w:val="0"/>
                <w:iCs w:val="0"/>
                <w:color w:val="auto"/>
                <w:kern w:val="0"/>
                <w:sz w:val="20"/>
                <w:szCs w:val="20"/>
                <w:u w:val="none"/>
                <w:lang w:val="en-US" w:eastAsia="zh-CN" w:bidi="ar"/>
              </w:rPr>
              <w:t>申请人民法院强制执行</w:t>
            </w:r>
          </w:p>
        </w:tc>
        <w:tc>
          <w:tcPr>
            <w:tcW w:w="1286" w:type="dxa"/>
            <w:vAlign w:val="center"/>
          </w:tcPr>
          <w:p>
            <w:pPr>
              <w:spacing w:line="240" w:lineRule="exact"/>
              <w:rPr>
                <w:rFonts w:hint="eastAsia" w:ascii="仿宋_GB2312" w:hAnsi="仿宋_GB2312" w:eastAsia="仿宋_GB2312" w:cs="仿宋_GB2312"/>
                <w:color w:val="auto"/>
                <w:sz w:val="20"/>
                <w:szCs w:val="20"/>
                <w:lang w:val="en-US" w:eastAsia="zh-CN"/>
              </w:rPr>
            </w:pPr>
            <w:r>
              <w:rPr>
                <w:rFonts w:hint="eastAsia" w:ascii="仿宋_GB2312" w:hAnsi="仿宋_GB2312" w:eastAsia="仿宋_GB2312" w:cs="仿宋_GB2312"/>
                <w:color w:val="auto"/>
                <w:sz w:val="20"/>
                <w:szCs w:val="20"/>
                <w:lang w:val="en-US" w:eastAsia="zh-CN"/>
              </w:rPr>
              <w:t>行政强制</w:t>
            </w:r>
          </w:p>
        </w:tc>
        <w:tc>
          <w:tcPr>
            <w:tcW w:w="4253" w:type="dxa"/>
            <w:vAlign w:val="center"/>
          </w:tcPr>
          <w:p>
            <w:pPr>
              <w:keepNext w:val="0"/>
              <w:keepLines w:val="0"/>
              <w:widowControl/>
              <w:suppressLineNumbers w:val="0"/>
              <w:jc w:val="left"/>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《行政强制法》第五十三条  当事人在法定期限内不申请行政复议或者提起行政诉讼，又不履行行政决定的，没有行政强制执行权的行政机关可以自期限届满之日起三个月内，依照本章规定申请人民法院强制执行。</w:t>
            </w:r>
          </w:p>
        </w:tc>
        <w:tc>
          <w:tcPr>
            <w:tcW w:w="2126" w:type="dxa"/>
            <w:vAlign w:val="center"/>
          </w:tcPr>
          <w:p>
            <w:pPr>
              <w:spacing w:line="240" w:lineRule="exact"/>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lang w:val="en-US" w:eastAsia="zh-CN"/>
              </w:rPr>
              <w:t>扬州市消防救援支队</w:t>
            </w:r>
          </w:p>
        </w:tc>
        <w:tc>
          <w:tcPr>
            <w:tcW w:w="992" w:type="dxa"/>
            <w:vAlign w:val="center"/>
          </w:tcPr>
          <w:p>
            <w:pPr>
              <w:spacing w:line="240" w:lineRule="exact"/>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lang w:val="en-US" w:eastAsia="zh-CN"/>
              </w:rPr>
              <w:t>市、县</w:t>
            </w:r>
          </w:p>
        </w:tc>
        <w:tc>
          <w:tcPr>
            <w:tcW w:w="1010" w:type="dxa"/>
            <w:vAlign w:val="center"/>
          </w:tcPr>
          <w:p>
            <w:pPr>
              <w:spacing w:line="240" w:lineRule="exact"/>
              <w:rPr>
                <w:rFonts w:hint="eastAsia" w:ascii="仿宋_GB2312" w:hAnsi="仿宋_GB2312" w:eastAsia="仿宋_GB2312" w:cs="仿宋_GB2312"/>
                <w:color w:val="auto"/>
                <w:sz w:val="20"/>
                <w:szCs w:val="20"/>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55" w:hRule="atLeast"/>
          <w:jc w:val="center"/>
        </w:trPr>
        <w:tc>
          <w:tcPr>
            <w:tcW w:w="758" w:type="dxa"/>
            <w:vAlign w:val="center"/>
          </w:tcPr>
          <w:p>
            <w:pPr>
              <w:numPr>
                <w:ilvl w:val="0"/>
                <w:numId w:val="1"/>
              </w:numPr>
              <w:spacing w:line="240" w:lineRule="exact"/>
              <w:ind w:left="425" w:leftChars="0" w:hanging="425" w:firstLineChars="0"/>
              <w:jc w:val="center"/>
              <w:rPr>
                <w:rFonts w:hint="eastAsia" w:ascii="仿宋_GB2312" w:hAnsi="仿宋_GB2312" w:eastAsia="仿宋_GB2312" w:cs="仿宋_GB2312"/>
                <w:color w:val="auto"/>
                <w:sz w:val="20"/>
                <w:szCs w:val="20"/>
                <w:lang w:val="en-US" w:eastAsia="zh-CN"/>
              </w:rPr>
            </w:pPr>
          </w:p>
        </w:tc>
        <w:tc>
          <w:tcPr>
            <w:tcW w:w="3108" w:type="dx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0"/>
                <w:szCs w:val="20"/>
                <w:u w:val="none"/>
                <w:lang w:val="en-US" w:eastAsia="zh-CN" w:bidi="ar"/>
              </w:rPr>
            </w:pPr>
            <w:r>
              <w:rPr>
                <w:rFonts w:hint="eastAsia" w:ascii="仿宋_GB2312" w:hAnsi="仿宋_GB2312" w:eastAsia="仿宋_GB2312" w:cs="仿宋_GB2312"/>
                <w:i w:val="0"/>
                <w:iCs w:val="0"/>
                <w:color w:val="auto"/>
                <w:kern w:val="0"/>
                <w:sz w:val="20"/>
                <w:szCs w:val="20"/>
                <w:u w:val="none"/>
                <w:lang w:val="en-US" w:eastAsia="zh-CN" w:bidi="ar"/>
              </w:rPr>
              <w:t>消防监督检查</w:t>
            </w:r>
          </w:p>
        </w:tc>
        <w:tc>
          <w:tcPr>
            <w:tcW w:w="1286" w:type="dxa"/>
            <w:vAlign w:val="center"/>
          </w:tcPr>
          <w:p>
            <w:pPr>
              <w:spacing w:line="240" w:lineRule="exact"/>
              <w:rPr>
                <w:rFonts w:hint="eastAsia" w:ascii="仿宋_GB2312" w:hAnsi="仿宋_GB2312" w:eastAsia="仿宋_GB2312" w:cs="仿宋_GB2312"/>
                <w:color w:val="auto"/>
                <w:sz w:val="20"/>
                <w:szCs w:val="20"/>
                <w:lang w:val="en-US" w:eastAsia="zh-CN"/>
              </w:rPr>
            </w:pPr>
            <w:r>
              <w:rPr>
                <w:rFonts w:hint="eastAsia" w:ascii="仿宋_GB2312" w:hAnsi="仿宋_GB2312" w:eastAsia="仿宋_GB2312" w:cs="仿宋_GB2312"/>
                <w:color w:val="auto"/>
                <w:sz w:val="20"/>
                <w:szCs w:val="20"/>
                <w:lang w:val="en-US" w:eastAsia="zh-CN"/>
              </w:rPr>
              <w:t>其他行政权力</w:t>
            </w:r>
          </w:p>
        </w:tc>
        <w:tc>
          <w:tcPr>
            <w:tcW w:w="4253" w:type="dxa"/>
            <w:vAlign w:val="center"/>
          </w:tcPr>
          <w:p>
            <w:pPr>
              <w:keepNext w:val="0"/>
              <w:keepLines w:val="0"/>
              <w:widowControl/>
              <w:suppressLineNumbers w:val="0"/>
              <w:jc w:val="left"/>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《中华人民共和国消防法》第四条第一款  国务院应急管理部门对全国的消防工作实施监督管理。县级以上地方人民政府应急管理部门对本行政区域内的消防工作实施监督管理，并由本级人民政府消防救援机构负责实施。军事设施的消防工作，由其主管单位监督管理，消防救援机构协助；矿井地下部分、核电厂、海上石油天然气设施的消防工作，由其主管单位监督管理。</w:t>
            </w:r>
            <w:r>
              <w:rPr>
                <w:rFonts w:hint="eastAsia" w:ascii="仿宋_GB2312" w:hAnsi="仿宋_GB2312" w:eastAsia="仿宋_GB2312" w:cs="仿宋_GB2312"/>
                <w:i w:val="0"/>
                <w:iCs w:val="0"/>
                <w:color w:val="auto"/>
                <w:kern w:val="0"/>
                <w:sz w:val="20"/>
                <w:szCs w:val="20"/>
                <w:u w:val="none"/>
                <w:lang w:val="en-US" w:eastAsia="zh-CN" w:bidi="ar"/>
              </w:rPr>
              <w:br w:type="textWrapping"/>
            </w:r>
            <w:r>
              <w:rPr>
                <w:rFonts w:hint="eastAsia" w:ascii="仿宋_GB2312" w:hAnsi="仿宋_GB2312" w:eastAsia="仿宋_GB2312" w:cs="仿宋_GB2312"/>
                <w:i w:val="0"/>
                <w:iCs w:val="0"/>
                <w:color w:val="auto"/>
                <w:kern w:val="0"/>
                <w:sz w:val="20"/>
                <w:szCs w:val="20"/>
                <w:u w:val="none"/>
                <w:lang w:val="en-US" w:eastAsia="zh-CN" w:bidi="ar"/>
              </w:rPr>
              <w:t>《中华人民共和国消防法》第五十三条  消防救援机构应当对机关、团体、企业、事业等单位遵守消防法律、法规的情况依法进行监督检查。公安派出所可以负责日常消防监督检查、开展消防宣传教育，具体办法由国务院公安部门规定。消防救援机构、公安派出所的工作人员进行消防监督检查，应当出示证件。                                                             【规章】《消防监督检查规定》（公安部令第120号）</w:t>
            </w:r>
            <w:r>
              <w:rPr>
                <w:rFonts w:hint="eastAsia" w:ascii="仿宋_GB2312" w:hAnsi="仿宋_GB2312" w:eastAsia="仿宋_GB2312" w:cs="仿宋_GB2312"/>
                <w:i w:val="0"/>
                <w:iCs w:val="0"/>
                <w:color w:val="auto"/>
                <w:kern w:val="0"/>
                <w:sz w:val="20"/>
                <w:szCs w:val="20"/>
                <w:u w:val="none"/>
                <w:lang w:val="en-US" w:eastAsia="zh-CN" w:bidi="ar"/>
              </w:rPr>
              <w:br w:type="textWrapping"/>
            </w:r>
            <w:r>
              <w:rPr>
                <w:rFonts w:hint="eastAsia" w:ascii="仿宋_GB2312" w:hAnsi="仿宋_GB2312" w:eastAsia="仿宋_GB2312" w:cs="仿宋_GB2312"/>
                <w:i w:val="0"/>
                <w:iCs w:val="0"/>
                <w:color w:val="auto"/>
                <w:kern w:val="0"/>
                <w:sz w:val="20"/>
                <w:szCs w:val="20"/>
                <w:u w:val="none"/>
                <w:lang w:val="en-US" w:eastAsia="zh-CN" w:bidi="ar"/>
              </w:rPr>
              <w:t xml:space="preserve">    第六条消防监督检查的形式有：</w:t>
            </w:r>
            <w:r>
              <w:rPr>
                <w:rFonts w:hint="eastAsia" w:ascii="仿宋_GB2312" w:hAnsi="仿宋_GB2312" w:eastAsia="仿宋_GB2312" w:cs="仿宋_GB2312"/>
                <w:i w:val="0"/>
                <w:iCs w:val="0"/>
                <w:color w:val="auto"/>
                <w:kern w:val="0"/>
                <w:sz w:val="20"/>
                <w:szCs w:val="20"/>
                <w:u w:val="none"/>
                <w:lang w:val="en-US" w:eastAsia="zh-CN" w:bidi="ar"/>
              </w:rPr>
              <w:br w:type="textWrapping"/>
            </w:r>
            <w:r>
              <w:rPr>
                <w:rFonts w:hint="eastAsia" w:ascii="仿宋_GB2312" w:hAnsi="仿宋_GB2312" w:eastAsia="仿宋_GB2312" w:cs="仿宋_GB2312"/>
                <w:i w:val="0"/>
                <w:iCs w:val="0"/>
                <w:color w:val="auto"/>
                <w:kern w:val="0"/>
                <w:sz w:val="20"/>
                <w:szCs w:val="20"/>
                <w:u w:val="none"/>
                <w:lang w:val="en-US" w:eastAsia="zh-CN" w:bidi="ar"/>
              </w:rPr>
              <w:t>（一）对公众聚集场所在投入使用、营业前的消防安全检查；</w:t>
            </w:r>
            <w:r>
              <w:rPr>
                <w:rFonts w:hint="eastAsia" w:ascii="仿宋_GB2312" w:hAnsi="仿宋_GB2312" w:eastAsia="仿宋_GB2312" w:cs="仿宋_GB2312"/>
                <w:i w:val="0"/>
                <w:iCs w:val="0"/>
                <w:color w:val="auto"/>
                <w:kern w:val="0"/>
                <w:sz w:val="20"/>
                <w:szCs w:val="20"/>
                <w:u w:val="none"/>
                <w:lang w:val="en-US" w:eastAsia="zh-CN" w:bidi="ar"/>
              </w:rPr>
              <w:br w:type="textWrapping"/>
            </w:r>
            <w:r>
              <w:rPr>
                <w:rFonts w:hint="eastAsia" w:ascii="仿宋_GB2312" w:hAnsi="仿宋_GB2312" w:eastAsia="仿宋_GB2312" w:cs="仿宋_GB2312"/>
                <w:i w:val="0"/>
                <w:iCs w:val="0"/>
                <w:color w:val="auto"/>
                <w:kern w:val="0"/>
                <w:sz w:val="20"/>
                <w:szCs w:val="20"/>
                <w:u w:val="none"/>
                <w:lang w:val="en-US" w:eastAsia="zh-CN" w:bidi="ar"/>
              </w:rPr>
              <w:t>（二）对单位履行法定消防安全职责情况的监督抽查；</w:t>
            </w:r>
            <w:r>
              <w:rPr>
                <w:rFonts w:hint="eastAsia" w:ascii="仿宋_GB2312" w:hAnsi="仿宋_GB2312" w:eastAsia="仿宋_GB2312" w:cs="仿宋_GB2312"/>
                <w:i w:val="0"/>
                <w:iCs w:val="0"/>
                <w:color w:val="auto"/>
                <w:kern w:val="0"/>
                <w:sz w:val="20"/>
                <w:szCs w:val="20"/>
                <w:u w:val="none"/>
                <w:lang w:val="en-US" w:eastAsia="zh-CN" w:bidi="ar"/>
              </w:rPr>
              <w:br w:type="textWrapping"/>
            </w:r>
            <w:r>
              <w:rPr>
                <w:rFonts w:hint="eastAsia" w:ascii="仿宋_GB2312" w:hAnsi="仿宋_GB2312" w:eastAsia="仿宋_GB2312" w:cs="仿宋_GB2312"/>
                <w:i w:val="0"/>
                <w:iCs w:val="0"/>
                <w:color w:val="auto"/>
                <w:kern w:val="0"/>
                <w:sz w:val="20"/>
                <w:szCs w:val="20"/>
                <w:u w:val="none"/>
                <w:lang w:val="en-US" w:eastAsia="zh-CN" w:bidi="ar"/>
              </w:rPr>
              <w:t>（三）对举报投诉的消防安全违法行为的核查；</w:t>
            </w:r>
            <w:r>
              <w:rPr>
                <w:rFonts w:hint="eastAsia" w:ascii="仿宋_GB2312" w:hAnsi="仿宋_GB2312" w:eastAsia="仿宋_GB2312" w:cs="仿宋_GB2312"/>
                <w:i w:val="0"/>
                <w:iCs w:val="0"/>
                <w:color w:val="auto"/>
                <w:kern w:val="0"/>
                <w:sz w:val="20"/>
                <w:szCs w:val="20"/>
                <w:u w:val="none"/>
                <w:lang w:val="en-US" w:eastAsia="zh-CN" w:bidi="ar"/>
              </w:rPr>
              <w:br w:type="textWrapping"/>
            </w:r>
            <w:r>
              <w:rPr>
                <w:rFonts w:hint="eastAsia" w:ascii="仿宋_GB2312" w:hAnsi="仿宋_GB2312" w:eastAsia="仿宋_GB2312" w:cs="仿宋_GB2312"/>
                <w:i w:val="0"/>
                <w:iCs w:val="0"/>
                <w:color w:val="auto"/>
                <w:kern w:val="0"/>
                <w:sz w:val="20"/>
                <w:szCs w:val="20"/>
                <w:u w:val="none"/>
                <w:lang w:val="en-US" w:eastAsia="zh-CN" w:bidi="ar"/>
              </w:rPr>
              <w:t>（四）对大型群众性活动举办前的消防安全检查；</w:t>
            </w:r>
            <w:r>
              <w:rPr>
                <w:rFonts w:hint="eastAsia" w:ascii="仿宋_GB2312" w:hAnsi="仿宋_GB2312" w:eastAsia="仿宋_GB2312" w:cs="仿宋_GB2312"/>
                <w:i w:val="0"/>
                <w:iCs w:val="0"/>
                <w:color w:val="auto"/>
                <w:kern w:val="0"/>
                <w:sz w:val="20"/>
                <w:szCs w:val="20"/>
                <w:u w:val="none"/>
                <w:lang w:val="en-US" w:eastAsia="zh-CN" w:bidi="ar"/>
              </w:rPr>
              <w:br w:type="textWrapping"/>
            </w:r>
            <w:r>
              <w:rPr>
                <w:rFonts w:hint="eastAsia" w:ascii="仿宋_GB2312" w:hAnsi="仿宋_GB2312" w:eastAsia="仿宋_GB2312" w:cs="仿宋_GB2312"/>
                <w:i w:val="0"/>
                <w:iCs w:val="0"/>
                <w:color w:val="auto"/>
                <w:kern w:val="0"/>
                <w:sz w:val="20"/>
                <w:szCs w:val="20"/>
                <w:u w:val="none"/>
                <w:lang w:val="en-US" w:eastAsia="zh-CN" w:bidi="ar"/>
              </w:rPr>
              <w:t>（五）根据需要进行的其他消防监督检查。</w:t>
            </w:r>
          </w:p>
        </w:tc>
        <w:tc>
          <w:tcPr>
            <w:tcW w:w="2126" w:type="dxa"/>
            <w:vAlign w:val="center"/>
          </w:tcPr>
          <w:p>
            <w:pPr>
              <w:spacing w:line="240" w:lineRule="exact"/>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lang w:val="en-US" w:eastAsia="zh-CN"/>
              </w:rPr>
              <w:t>扬州市消防救援支队</w:t>
            </w:r>
          </w:p>
        </w:tc>
        <w:tc>
          <w:tcPr>
            <w:tcW w:w="992" w:type="dxa"/>
            <w:vAlign w:val="center"/>
          </w:tcPr>
          <w:p>
            <w:pPr>
              <w:spacing w:line="240" w:lineRule="exact"/>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lang w:val="en-US" w:eastAsia="zh-CN"/>
              </w:rPr>
              <w:t>市、县</w:t>
            </w:r>
          </w:p>
        </w:tc>
        <w:tc>
          <w:tcPr>
            <w:tcW w:w="1010" w:type="dxa"/>
            <w:vAlign w:val="center"/>
          </w:tcPr>
          <w:p>
            <w:pPr>
              <w:spacing w:line="240" w:lineRule="exact"/>
              <w:rPr>
                <w:rFonts w:hint="eastAsia" w:ascii="仿宋_GB2312" w:hAnsi="仿宋_GB2312" w:eastAsia="仿宋_GB2312" w:cs="仿宋_GB2312"/>
                <w:color w:val="auto"/>
                <w:sz w:val="20"/>
                <w:szCs w:val="20"/>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55" w:hRule="atLeast"/>
          <w:jc w:val="center"/>
        </w:trPr>
        <w:tc>
          <w:tcPr>
            <w:tcW w:w="758" w:type="dxa"/>
            <w:vAlign w:val="center"/>
          </w:tcPr>
          <w:p>
            <w:pPr>
              <w:numPr>
                <w:ilvl w:val="0"/>
                <w:numId w:val="1"/>
              </w:numPr>
              <w:spacing w:line="240" w:lineRule="exact"/>
              <w:ind w:left="425" w:leftChars="0" w:hanging="425" w:firstLineChars="0"/>
              <w:jc w:val="center"/>
              <w:rPr>
                <w:rFonts w:hint="eastAsia" w:ascii="仿宋_GB2312" w:hAnsi="仿宋_GB2312" w:eastAsia="仿宋_GB2312" w:cs="仿宋_GB2312"/>
                <w:color w:val="auto"/>
                <w:sz w:val="20"/>
                <w:szCs w:val="20"/>
                <w:lang w:val="en-US" w:eastAsia="zh-CN"/>
              </w:rPr>
            </w:pPr>
          </w:p>
        </w:tc>
        <w:tc>
          <w:tcPr>
            <w:tcW w:w="3108" w:type="dx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0"/>
                <w:szCs w:val="20"/>
                <w:u w:val="none"/>
                <w:lang w:val="en-US" w:eastAsia="zh-CN" w:bidi="ar"/>
              </w:rPr>
            </w:pPr>
            <w:r>
              <w:rPr>
                <w:rFonts w:hint="eastAsia" w:ascii="仿宋_GB2312" w:hAnsi="仿宋_GB2312" w:eastAsia="仿宋_GB2312" w:cs="仿宋_GB2312"/>
                <w:i w:val="0"/>
                <w:iCs w:val="0"/>
                <w:color w:val="auto"/>
                <w:kern w:val="0"/>
                <w:sz w:val="20"/>
                <w:szCs w:val="20"/>
                <w:u w:val="none"/>
                <w:lang w:val="en-US" w:eastAsia="zh-CN" w:bidi="ar"/>
              </w:rPr>
              <w:t>对社会消防技术服务机构的监督管理</w:t>
            </w:r>
          </w:p>
        </w:tc>
        <w:tc>
          <w:tcPr>
            <w:tcW w:w="1286" w:type="dxa"/>
            <w:vAlign w:val="center"/>
          </w:tcPr>
          <w:p>
            <w:pPr>
              <w:spacing w:line="240" w:lineRule="exact"/>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lang w:val="en-US" w:eastAsia="zh-CN"/>
              </w:rPr>
              <w:t>其他行政权力</w:t>
            </w:r>
          </w:p>
        </w:tc>
        <w:tc>
          <w:tcPr>
            <w:tcW w:w="4253" w:type="dxa"/>
            <w:vAlign w:val="center"/>
          </w:tcPr>
          <w:p>
            <w:pPr>
              <w:keepNext w:val="0"/>
              <w:keepLines w:val="0"/>
              <w:widowControl/>
              <w:suppressLineNumbers w:val="0"/>
              <w:jc w:val="left"/>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《社会消防技术服务管理规定》第十九条 县级以上人民政府消防救援机构依照有关法律、法规和本规定，对本行政区域内的社会消防技术服务活动实施监督管理。</w:t>
            </w:r>
            <w:r>
              <w:rPr>
                <w:rFonts w:hint="eastAsia" w:ascii="仿宋_GB2312" w:hAnsi="仿宋_GB2312" w:eastAsia="仿宋_GB2312" w:cs="仿宋_GB2312"/>
                <w:i w:val="0"/>
                <w:iCs w:val="0"/>
                <w:color w:val="auto"/>
                <w:kern w:val="0"/>
                <w:sz w:val="20"/>
                <w:szCs w:val="20"/>
                <w:u w:val="none"/>
                <w:lang w:val="en-US" w:eastAsia="zh-CN" w:bidi="ar"/>
              </w:rPr>
              <w:br w:type="textWrapping"/>
            </w:r>
            <w:r>
              <w:rPr>
                <w:rFonts w:hint="eastAsia" w:ascii="仿宋_GB2312" w:hAnsi="仿宋_GB2312" w:eastAsia="仿宋_GB2312" w:cs="仿宋_GB2312"/>
                <w:i w:val="0"/>
                <w:iCs w:val="0"/>
                <w:color w:val="auto"/>
                <w:kern w:val="0"/>
                <w:sz w:val="20"/>
                <w:szCs w:val="20"/>
                <w:u w:val="none"/>
                <w:lang w:val="en-US" w:eastAsia="zh-CN" w:bidi="ar"/>
              </w:rPr>
              <w:t>消防技术服务机构及其从业人员对消防救援机构依法进行的监督管理应当协助和配合，不得拒绝或者阻挠。《社会消防技术服务管理规定》第二十一条县级以上人民政府消防救援机构对社会消防技术服务活动开展监督检查的形式有：</w:t>
            </w:r>
            <w:r>
              <w:rPr>
                <w:rFonts w:hint="eastAsia" w:ascii="仿宋_GB2312" w:hAnsi="仿宋_GB2312" w:eastAsia="仿宋_GB2312" w:cs="仿宋_GB2312"/>
                <w:i w:val="0"/>
                <w:iCs w:val="0"/>
                <w:color w:val="auto"/>
                <w:kern w:val="0"/>
                <w:sz w:val="20"/>
                <w:szCs w:val="20"/>
                <w:u w:val="none"/>
                <w:lang w:val="en-US" w:eastAsia="zh-CN" w:bidi="ar"/>
              </w:rPr>
              <w:br w:type="textWrapping"/>
            </w:r>
            <w:r>
              <w:rPr>
                <w:rFonts w:hint="eastAsia" w:ascii="仿宋_GB2312" w:hAnsi="仿宋_GB2312" w:eastAsia="仿宋_GB2312" w:cs="仿宋_GB2312"/>
                <w:i w:val="0"/>
                <w:iCs w:val="0"/>
                <w:color w:val="auto"/>
                <w:kern w:val="0"/>
                <w:sz w:val="20"/>
                <w:szCs w:val="20"/>
                <w:u w:val="none"/>
                <w:lang w:val="en-US" w:eastAsia="zh-CN" w:bidi="ar"/>
              </w:rPr>
              <w:t>（一）结合日常消防监督检查工作，对消防技术服务质量实施监督抽查；</w:t>
            </w:r>
            <w:r>
              <w:rPr>
                <w:rFonts w:hint="eastAsia" w:ascii="仿宋_GB2312" w:hAnsi="仿宋_GB2312" w:eastAsia="仿宋_GB2312" w:cs="仿宋_GB2312"/>
                <w:i w:val="0"/>
                <w:iCs w:val="0"/>
                <w:color w:val="auto"/>
                <w:kern w:val="0"/>
                <w:sz w:val="20"/>
                <w:szCs w:val="20"/>
                <w:u w:val="none"/>
                <w:lang w:val="en-US" w:eastAsia="zh-CN" w:bidi="ar"/>
              </w:rPr>
              <w:br w:type="textWrapping"/>
            </w:r>
            <w:r>
              <w:rPr>
                <w:rFonts w:hint="eastAsia" w:ascii="仿宋_GB2312" w:hAnsi="仿宋_GB2312" w:eastAsia="仿宋_GB2312" w:cs="仿宋_GB2312"/>
                <w:i w:val="0"/>
                <w:iCs w:val="0"/>
                <w:color w:val="auto"/>
                <w:kern w:val="0"/>
                <w:sz w:val="20"/>
                <w:szCs w:val="20"/>
                <w:u w:val="none"/>
                <w:lang w:val="en-US" w:eastAsia="zh-CN" w:bidi="ar"/>
              </w:rPr>
              <w:t>（二）根据需要实施专项检查；</w:t>
            </w:r>
            <w:r>
              <w:rPr>
                <w:rFonts w:hint="eastAsia" w:ascii="仿宋_GB2312" w:hAnsi="仿宋_GB2312" w:eastAsia="仿宋_GB2312" w:cs="仿宋_GB2312"/>
                <w:i w:val="0"/>
                <w:iCs w:val="0"/>
                <w:color w:val="auto"/>
                <w:kern w:val="0"/>
                <w:sz w:val="20"/>
                <w:szCs w:val="20"/>
                <w:u w:val="none"/>
                <w:lang w:val="en-US" w:eastAsia="zh-CN" w:bidi="ar"/>
              </w:rPr>
              <w:br w:type="textWrapping"/>
            </w:r>
            <w:r>
              <w:rPr>
                <w:rFonts w:hint="eastAsia" w:ascii="仿宋_GB2312" w:hAnsi="仿宋_GB2312" w:eastAsia="仿宋_GB2312" w:cs="仿宋_GB2312"/>
                <w:i w:val="0"/>
                <w:iCs w:val="0"/>
                <w:color w:val="auto"/>
                <w:kern w:val="0"/>
                <w:sz w:val="20"/>
                <w:szCs w:val="20"/>
                <w:u w:val="none"/>
                <w:lang w:val="en-US" w:eastAsia="zh-CN" w:bidi="ar"/>
              </w:rPr>
              <w:t>（三）发生火灾事故后实施倒查；</w:t>
            </w:r>
            <w:r>
              <w:rPr>
                <w:rFonts w:hint="eastAsia" w:ascii="仿宋_GB2312" w:hAnsi="仿宋_GB2312" w:eastAsia="仿宋_GB2312" w:cs="仿宋_GB2312"/>
                <w:i w:val="0"/>
                <w:iCs w:val="0"/>
                <w:color w:val="auto"/>
                <w:kern w:val="0"/>
                <w:sz w:val="20"/>
                <w:szCs w:val="20"/>
                <w:u w:val="none"/>
                <w:lang w:val="en-US" w:eastAsia="zh-CN" w:bidi="ar"/>
              </w:rPr>
              <w:br w:type="textWrapping"/>
            </w:r>
            <w:r>
              <w:rPr>
                <w:rFonts w:hint="eastAsia" w:ascii="仿宋_GB2312" w:hAnsi="仿宋_GB2312" w:eastAsia="仿宋_GB2312" w:cs="仿宋_GB2312"/>
                <w:i w:val="0"/>
                <w:iCs w:val="0"/>
                <w:color w:val="auto"/>
                <w:kern w:val="0"/>
                <w:sz w:val="20"/>
                <w:szCs w:val="20"/>
                <w:u w:val="none"/>
                <w:lang w:val="en-US" w:eastAsia="zh-CN" w:bidi="ar"/>
              </w:rPr>
              <w:t>（四）对举报投诉和交办移送的消防技术服务机构及其从业人员的违法从业行为进行核查。</w:t>
            </w:r>
            <w:r>
              <w:rPr>
                <w:rFonts w:hint="eastAsia" w:ascii="仿宋_GB2312" w:hAnsi="仿宋_GB2312" w:eastAsia="仿宋_GB2312" w:cs="仿宋_GB2312"/>
                <w:i w:val="0"/>
                <w:iCs w:val="0"/>
                <w:color w:val="auto"/>
                <w:kern w:val="0"/>
                <w:sz w:val="20"/>
                <w:szCs w:val="20"/>
                <w:u w:val="none"/>
                <w:lang w:val="en-US" w:eastAsia="zh-CN" w:bidi="ar"/>
              </w:rPr>
              <w:br w:type="textWrapping"/>
            </w:r>
            <w:r>
              <w:rPr>
                <w:rFonts w:hint="eastAsia" w:ascii="仿宋_GB2312" w:hAnsi="仿宋_GB2312" w:eastAsia="仿宋_GB2312" w:cs="仿宋_GB2312"/>
                <w:i w:val="0"/>
                <w:iCs w:val="0"/>
                <w:color w:val="auto"/>
                <w:kern w:val="0"/>
                <w:sz w:val="20"/>
                <w:szCs w:val="20"/>
                <w:u w:val="none"/>
                <w:lang w:val="en-US" w:eastAsia="zh-CN" w:bidi="ar"/>
              </w:rPr>
              <w:t>开展社会消防技术服务活动监督检查可以根据实际需要，通过网上核查、服务单位实地核查、机构办公场所现场检查等方式实施。</w:t>
            </w:r>
          </w:p>
        </w:tc>
        <w:tc>
          <w:tcPr>
            <w:tcW w:w="2126" w:type="dxa"/>
            <w:vAlign w:val="center"/>
          </w:tcPr>
          <w:p>
            <w:pPr>
              <w:spacing w:line="240" w:lineRule="exact"/>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lang w:val="en-US" w:eastAsia="zh-CN"/>
              </w:rPr>
              <w:t>扬州市消防救援支队</w:t>
            </w:r>
          </w:p>
        </w:tc>
        <w:tc>
          <w:tcPr>
            <w:tcW w:w="992" w:type="dxa"/>
            <w:vAlign w:val="center"/>
          </w:tcPr>
          <w:p>
            <w:pPr>
              <w:spacing w:line="240" w:lineRule="exact"/>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lang w:val="en-US" w:eastAsia="zh-CN"/>
              </w:rPr>
              <w:t>市、县</w:t>
            </w:r>
          </w:p>
        </w:tc>
        <w:tc>
          <w:tcPr>
            <w:tcW w:w="1010" w:type="dxa"/>
            <w:vAlign w:val="center"/>
          </w:tcPr>
          <w:p>
            <w:pPr>
              <w:spacing w:line="240" w:lineRule="exact"/>
              <w:rPr>
                <w:rFonts w:hint="eastAsia" w:ascii="仿宋_GB2312" w:hAnsi="仿宋_GB2312" w:eastAsia="仿宋_GB2312" w:cs="仿宋_GB2312"/>
                <w:color w:val="auto"/>
                <w:sz w:val="20"/>
                <w:szCs w:val="20"/>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55" w:hRule="atLeast"/>
          <w:jc w:val="center"/>
        </w:trPr>
        <w:tc>
          <w:tcPr>
            <w:tcW w:w="758" w:type="dxa"/>
            <w:vAlign w:val="center"/>
          </w:tcPr>
          <w:p>
            <w:pPr>
              <w:numPr>
                <w:ilvl w:val="0"/>
                <w:numId w:val="1"/>
              </w:numPr>
              <w:spacing w:line="240" w:lineRule="exact"/>
              <w:ind w:left="425" w:leftChars="0" w:hanging="425" w:firstLineChars="0"/>
              <w:jc w:val="center"/>
              <w:rPr>
                <w:rFonts w:hint="eastAsia" w:ascii="仿宋_GB2312" w:hAnsi="仿宋_GB2312" w:eastAsia="仿宋_GB2312" w:cs="仿宋_GB2312"/>
                <w:color w:val="auto"/>
                <w:sz w:val="20"/>
                <w:szCs w:val="20"/>
                <w:lang w:val="en-US" w:eastAsia="zh-CN"/>
              </w:rPr>
            </w:pPr>
          </w:p>
        </w:tc>
        <w:tc>
          <w:tcPr>
            <w:tcW w:w="3108" w:type="dx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0"/>
                <w:szCs w:val="20"/>
                <w:u w:val="none"/>
                <w:lang w:val="en-US" w:eastAsia="zh-CN" w:bidi="ar"/>
              </w:rPr>
            </w:pPr>
            <w:r>
              <w:rPr>
                <w:rFonts w:hint="eastAsia" w:ascii="仿宋_GB2312" w:hAnsi="仿宋_GB2312" w:eastAsia="仿宋_GB2312" w:cs="仿宋_GB2312"/>
                <w:i w:val="0"/>
                <w:iCs w:val="0"/>
                <w:color w:val="auto"/>
                <w:kern w:val="0"/>
                <w:sz w:val="20"/>
                <w:szCs w:val="20"/>
                <w:u w:val="none"/>
                <w:lang w:val="en-US" w:eastAsia="zh-CN" w:bidi="ar"/>
              </w:rPr>
              <w:t>对使用领域的消防产品的监督检查</w:t>
            </w:r>
          </w:p>
        </w:tc>
        <w:tc>
          <w:tcPr>
            <w:tcW w:w="1286" w:type="dxa"/>
            <w:vAlign w:val="center"/>
          </w:tcPr>
          <w:p>
            <w:pPr>
              <w:spacing w:line="240" w:lineRule="exact"/>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lang w:val="en-US" w:eastAsia="zh-CN"/>
              </w:rPr>
              <w:t>其他行政权力</w:t>
            </w:r>
          </w:p>
        </w:tc>
        <w:tc>
          <w:tcPr>
            <w:tcW w:w="4253" w:type="dxa"/>
            <w:vAlign w:val="center"/>
          </w:tcPr>
          <w:p>
            <w:pPr>
              <w:keepNext w:val="0"/>
              <w:keepLines w:val="0"/>
              <w:widowControl/>
              <w:suppressLineNumbers w:val="0"/>
              <w:jc w:val="left"/>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《消防产品监督管理规定》第二十一条 消防救援机构对使用领域的消防产品质量进行监督检查，实行日常监督检查和监督抽查相结合的方式。</w:t>
            </w:r>
          </w:p>
        </w:tc>
        <w:tc>
          <w:tcPr>
            <w:tcW w:w="2126" w:type="dxa"/>
            <w:vAlign w:val="center"/>
          </w:tcPr>
          <w:p>
            <w:pPr>
              <w:spacing w:line="240" w:lineRule="exact"/>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lang w:val="en-US" w:eastAsia="zh-CN"/>
              </w:rPr>
              <w:t>扬州市消防救援支队</w:t>
            </w:r>
          </w:p>
        </w:tc>
        <w:tc>
          <w:tcPr>
            <w:tcW w:w="992" w:type="dxa"/>
            <w:vAlign w:val="center"/>
          </w:tcPr>
          <w:p>
            <w:pPr>
              <w:spacing w:line="240" w:lineRule="exact"/>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lang w:val="en-US" w:eastAsia="zh-CN"/>
              </w:rPr>
              <w:t>市、县</w:t>
            </w:r>
          </w:p>
        </w:tc>
        <w:tc>
          <w:tcPr>
            <w:tcW w:w="1010" w:type="dxa"/>
            <w:vAlign w:val="center"/>
          </w:tcPr>
          <w:p>
            <w:pPr>
              <w:spacing w:line="240" w:lineRule="exact"/>
              <w:rPr>
                <w:rFonts w:hint="eastAsia" w:ascii="仿宋_GB2312" w:hAnsi="仿宋_GB2312" w:eastAsia="仿宋_GB2312" w:cs="仿宋_GB2312"/>
                <w:color w:val="auto"/>
                <w:sz w:val="20"/>
                <w:szCs w:val="20"/>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55" w:hRule="atLeast"/>
          <w:jc w:val="center"/>
        </w:trPr>
        <w:tc>
          <w:tcPr>
            <w:tcW w:w="758" w:type="dxa"/>
            <w:vAlign w:val="center"/>
          </w:tcPr>
          <w:p>
            <w:pPr>
              <w:numPr>
                <w:ilvl w:val="0"/>
                <w:numId w:val="1"/>
              </w:numPr>
              <w:spacing w:line="240" w:lineRule="exact"/>
              <w:ind w:left="425" w:leftChars="0" w:hanging="425" w:firstLineChars="0"/>
              <w:jc w:val="center"/>
              <w:rPr>
                <w:rFonts w:hint="eastAsia" w:ascii="仿宋_GB2312" w:hAnsi="仿宋_GB2312" w:eastAsia="仿宋_GB2312" w:cs="仿宋_GB2312"/>
                <w:color w:val="auto"/>
                <w:sz w:val="20"/>
                <w:szCs w:val="20"/>
                <w:lang w:val="en-US" w:eastAsia="zh-CN"/>
              </w:rPr>
            </w:pPr>
          </w:p>
        </w:tc>
        <w:tc>
          <w:tcPr>
            <w:tcW w:w="3108" w:type="dxa"/>
            <w:vAlign w:val="center"/>
          </w:tcPr>
          <w:p>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0"/>
                <w:szCs w:val="20"/>
                <w:u w:val="none"/>
                <w:lang w:val="en-US" w:eastAsia="zh-CN" w:bidi="ar"/>
              </w:rPr>
            </w:pPr>
            <w:r>
              <w:rPr>
                <w:rFonts w:hint="eastAsia" w:ascii="仿宋_GB2312" w:hAnsi="仿宋_GB2312" w:eastAsia="仿宋_GB2312" w:cs="仿宋_GB2312"/>
                <w:i w:val="0"/>
                <w:iCs w:val="0"/>
                <w:color w:val="auto"/>
                <w:kern w:val="0"/>
                <w:sz w:val="20"/>
                <w:szCs w:val="20"/>
                <w:u w:val="none"/>
                <w:lang w:val="en-US" w:eastAsia="zh-CN" w:bidi="ar"/>
              </w:rPr>
              <w:t>对注册消防工程师的执业活动的监督管理</w:t>
            </w:r>
          </w:p>
        </w:tc>
        <w:tc>
          <w:tcPr>
            <w:tcW w:w="1286" w:type="dxa"/>
            <w:vAlign w:val="center"/>
          </w:tcPr>
          <w:p>
            <w:pPr>
              <w:spacing w:line="240" w:lineRule="exact"/>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lang w:val="en-US" w:eastAsia="zh-CN"/>
              </w:rPr>
              <w:t>其他行政权力</w:t>
            </w:r>
          </w:p>
        </w:tc>
        <w:tc>
          <w:tcPr>
            <w:tcW w:w="4253" w:type="dxa"/>
            <w:vAlign w:val="center"/>
          </w:tcPr>
          <w:p>
            <w:pPr>
              <w:keepNext w:val="0"/>
              <w:keepLines w:val="0"/>
              <w:widowControl/>
              <w:suppressLineNumbers w:val="0"/>
              <w:jc w:val="left"/>
              <w:textAlignment w:val="center"/>
              <w:rPr>
                <w:rFonts w:hint="eastAsia" w:ascii="仿宋_GB2312" w:hAnsi="仿宋_GB2312" w:eastAsia="仿宋_GB2312" w:cs="仿宋_GB2312"/>
                <w:color w:val="auto"/>
                <w:sz w:val="20"/>
                <w:szCs w:val="20"/>
              </w:rPr>
            </w:pPr>
            <w:r>
              <w:rPr>
                <w:rFonts w:hint="eastAsia" w:ascii="仿宋_GB2312" w:hAnsi="仿宋_GB2312" w:eastAsia="仿宋_GB2312" w:cs="仿宋_GB2312"/>
                <w:i w:val="0"/>
                <w:iCs w:val="0"/>
                <w:color w:val="auto"/>
                <w:kern w:val="0"/>
                <w:sz w:val="20"/>
                <w:szCs w:val="20"/>
                <w:u w:val="none"/>
                <w:lang w:val="en-US" w:eastAsia="zh-CN" w:bidi="ar"/>
              </w:rPr>
              <w:t>《注册消防工程师管理规定》第三十八条 县级以上消防救援机构依照有关法律、法规和本规定，对本行政区域内注册消防工程师的执业活动实施监督管理。</w:t>
            </w:r>
            <w:r>
              <w:rPr>
                <w:rFonts w:hint="eastAsia" w:ascii="仿宋_GB2312" w:hAnsi="仿宋_GB2312" w:eastAsia="仿宋_GB2312" w:cs="仿宋_GB2312"/>
                <w:i w:val="0"/>
                <w:iCs w:val="0"/>
                <w:color w:val="auto"/>
                <w:kern w:val="0"/>
                <w:sz w:val="20"/>
                <w:szCs w:val="20"/>
                <w:u w:val="none"/>
                <w:lang w:val="en-US" w:eastAsia="zh-CN" w:bidi="ar"/>
              </w:rPr>
              <w:br w:type="textWrapping"/>
            </w:r>
            <w:r>
              <w:rPr>
                <w:rFonts w:hint="eastAsia" w:ascii="仿宋_GB2312" w:hAnsi="仿宋_GB2312" w:eastAsia="仿宋_GB2312" w:cs="仿宋_GB2312"/>
                <w:i w:val="0"/>
                <w:iCs w:val="0"/>
                <w:color w:val="auto"/>
                <w:kern w:val="0"/>
                <w:sz w:val="20"/>
                <w:szCs w:val="20"/>
                <w:u w:val="none"/>
                <w:lang w:val="en-US" w:eastAsia="zh-CN" w:bidi="ar"/>
              </w:rPr>
              <w:t>注册消防工程师及其聘用单位对消防救援机构依法进行的监督管理应当协助与配合，不得拒绝或者阻挠。</w:t>
            </w:r>
            <w:r>
              <w:rPr>
                <w:rFonts w:hint="eastAsia" w:ascii="仿宋_GB2312" w:hAnsi="仿宋_GB2312" w:eastAsia="仿宋_GB2312" w:cs="仿宋_GB2312"/>
                <w:i w:val="0"/>
                <w:iCs w:val="0"/>
                <w:color w:val="auto"/>
                <w:kern w:val="0"/>
                <w:sz w:val="20"/>
                <w:szCs w:val="20"/>
                <w:u w:val="none"/>
                <w:lang w:val="en-US" w:eastAsia="zh-CN" w:bidi="ar"/>
              </w:rPr>
              <w:br w:type="textWrapping"/>
            </w:r>
            <w:r>
              <w:rPr>
                <w:rFonts w:hint="eastAsia" w:ascii="仿宋_GB2312" w:hAnsi="仿宋_GB2312" w:eastAsia="仿宋_GB2312" w:cs="仿宋_GB2312"/>
                <w:i w:val="0"/>
                <w:iCs w:val="0"/>
                <w:color w:val="auto"/>
                <w:kern w:val="0"/>
                <w:sz w:val="20"/>
                <w:szCs w:val="20"/>
                <w:u w:val="none"/>
                <w:lang w:val="en-US" w:eastAsia="zh-CN" w:bidi="ar"/>
              </w:rPr>
              <w:t>《注册消防工程师管理规定》第三十九条 省级消防救援机构应当制定对注册消防工程师执业活动的监督抽查计划。县级以上地方消防救援机构应当根据监督抽查计划，结合日常消防监督检查工作，对注册消防工程师的执业活动实施监督抽查。</w:t>
            </w:r>
            <w:r>
              <w:rPr>
                <w:rFonts w:hint="eastAsia" w:ascii="仿宋_GB2312" w:hAnsi="仿宋_GB2312" w:eastAsia="仿宋_GB2312" w:cs="仿宋_GB2312"/>
                <w:i w:val="0"/>
                <w:iCs w:val="0"/>
                <w:color w:val="auto"/>
                <w:kern w:val="0"/>
                <w:sz w:val="20"/>
                <w:szCs w:val="20"/>
                <w:u w:val="none"/>
                <w:lang w:val="en-US" w:eastAsia="zh-CN" w:bidi="ar"/>
              </w:rPr>
              <w:br w:type="textWrapping"/>
            </w:r>
            <w:r>
              <w:rPr>
                <w:rFonts w:hint="eastAsia" w:ascii="仿宋_GB2312" w:hAnsi="仿宋_GB2312" w:eastAsia="仿宋_GB2312" w:cs="仿宋_GB2312"/>
                <w:i w:val="0"/>
                <w:iCs w:val="0"/>
                <w:color w:val="auto"/>
                <w:kern w:val="0"/>
                <w:sz w:val="20"/>
                <w:szCs w:val="20"/>
                <w:u w:val="none"/>
                <w:lang w:val="en-US" w:eastAsia="zh-CN" w:bidi="ar"/>
              </w:rPr>
              <w:t>消防救援机构对注册消防工程师的执业活动实施监督抽查时，检查人员不得少于2人，并应当表明执法身份。</w:t>
            </w:r>
          </w:p>
        </w:tc>
        <w:tc>
          <w:tcPr>
            <w:tcW w:w="2126" w:type="dxa"/>
            <w:vAlign w:val="center"/>
          </w:tcPr>
          <w:p>
            <w:pPr>
              <w:spacing w:line="240" w:lineRule="exact"/>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lang w:val="en-US" w:eastAsia="zh-CN"/>
              </w:rPr>
              <w:t>扬州市消防救援支队</w:t>
            </w:r>
          </w:p>
        </w:tc>
        <w:tc>
          <w:tcPr>
            <w:tcW w:w="992" w:type="dxa"/>
            <w:vAlign w:val="center"/>
          </w:tcPr>
          <w:p>
            <w:pPr>
              <w:spacing w:line="240" w:lineRule="exact"/>
              <w:rPr>
                <w:rFonts w:hint="eastAsia" w:ascii="仿宋_GB2312" w:hAnsi="仿宋_GB2312" w:eastAsia="仿宋_GB2312" w:cs="仿宋_GB2312"/>
                <w:color w:val="auto"/>
                <w:sz w:val="20"/>
                <w:szCs w:val="20"/>
              </w:rPr>
            </w:pPr>
            <w:r>
              <w:rPr>
                <w:rFonts w:hint="eastAsia" w:ascii="仿宋_GB2312" w:hAnsi="仿宋_GB2312" w:eastAsia="仿宋_GB2312" w:cs="仿宋_GB2312"/>
                <w:color w:val="auto"/>
                <w:sz w:val="20"/>
                <w:szCs w:val="20"/>
                <w:lang w:val="en-US" w:eastAsia="zh-CN"/>
              </w:rPr>
              <w:t>市、县</w:t>
            </w:r>
          </w:p>
        </w:tc>
        <w:tc>
          <w:tcPr>
            <w:tcW w:w="1010" w:type="dxa"/>
            <w:vAlign w:val="center"/>
          </w:tcPr>
          <w:p>
            <w:pPr>
              <w:spacing w:line="240" w:lineRule="exact"/>
              <w:rPr>
                <w:rFonts w:hint="eastAsia" w:ascii="仿宋_GB2312" w:hAnsi="仿宋_GB2312" w:eastAsia="仿宋_GB2312" w:cs="仿宋_GB2312"/>
                <w:color w:val="auto"/>
                <w:sz w:val="20"/>
                <w:szCs w:val="20"/>
              </w:rPr>
            </w:pPr>
          </w:p>
        </w:tc>
      </w:tr>
    </w:tbl>
    <w:p>
      <w:pPr>
        <w:widowControl/>
        <w:spacing w:line="320" w:lineRule="exact"/>
        <w:jc w:val="left"/>
        <w:rPr>
          <w:rFonts w:ascii="Times New Roman" w:hAnsi="Times New Roman" w:eastAsia="方正楷体_GBK" w:cs="Times New Roman"/>
          <w:b/>
          <w:color w:val="444444"/>
          <w:kern w:val="0"/>
          <w:sz w:val="28"/>
          <w:szCs w:val="28"/>
        </w:rPr>
      </w:pPr>
    </w:p>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altName w:val="微软雅黑"/>
    <w:panose1 w:val="03000509000000000000"/>
    <w:charset w:val="86"/>
    <w:family w:val="script"/>
    <w:pitch w:val="default"/>
    <w:sig w:usb0="00000000" w:usb1="00000000" w:usb2="00000000" w:usb3="00000000" w:csb0="00040000" w:csb1="00000000"/>
  </w:font>
  <w:font w:name="方正小标宋简体">
    <w:altName w:val="黑体"/>
    <w:panose1 w:val="02010601030101010101"/>
    <w:charset w:val="86"/>
    <w:family w:val="script"/>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方正楷体_GBK">
    <w:altName w:val="微软雅黑"/>
    <w:panose1 w:val="02000000000000000000"/>
    <w:charset w:val="86"/>
    <w:family w:val="script"/>
    <w:pitch w:val="default"/>
    <w:sig w:usb0="00000000" w:usb1="00000000" w:usb2="00082016" w:usb3="00000000" w:csb0="00040001"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6E157E5"/>
    <w:multiLevelType w:val="singleLevel"/>
    <w:tmpl w:val="B6E157E5"/>
    <w:lvl w:ilvl="0" w:tentative="0">
      <w:start w:val="1"/>
      <w:numFmt w:val="none"/>
      <w:suff w:val="space"/>
      <w:lvlText w:val="行政处罚"/>
      <w:lvlJc w:val="left"/>
      <w:pPr>
        <w:ind w:left="425" w:leftChars="0" w:hanging="425" w:firstLineChars="0"/>
      </w:pPr>
      <w:rPr>
        <w:rFonts w:hint="default"/>
      </w:rPr>
    </w:lvl>
  </w:abstractNum>
  <w:abstractNum w:abstractNumId="1">
    <w:nsid w:val="14E08404"/>
    <w:multiLevelType w:val="singleLevel"/>
    <w:tmpl w:val="14E08404"/>
    <w:lvl w:ilvl="0" w:tentative="0">
      <w:start w:val="1"/>
      <w:numFmt w:val="none"/>
      <w:lvlText w:val="市、县"/>
      <w:lvlJc w:val="left"/>
      <w:pPr>
        <w:tabs>
          <w:tab w:val="left" w:pos="420"/>
        </w:tabs>
        <w:ind w:left="425" w:leftChars="0" w:hanging="425" w:firstLineChars="0"/>
      </w:pPr>
      <w:rPr>
        <w:rFonts w:hint="default"/>
      </w:rPr>
    </w:lvl>
  </w:abstractNum>
  <w:abstractNum w:abstractNumId="2">
    <w:nsid w:val="5D9A1012"/>
    <w:multiLevelType w:val="singleLevel"/>
    <w:tmpl w:val="5D9A1012"/>
    <w:lvl w:ilvl="0" w:tentative="0">
      <w:start w:val="1"/>
      <w:numFmt w:val="decimal"/>
      <w:lvlText w:val="%1"/>
      <w:lvlJc w:val="left"/>
      <w:pPr>
        <w:tabs>
          <w:tab w:val="left" w:pos="420"/>
        </w:tabs>
        <w:ind w:left="425" w:leftChars="0" w:hanging="425" w:firstLineChars="0"/>
      </w:pPr>
      <w:rPr>
        <w:rFonts w:hint="default"/>
      </w:rPr>
    </w:lvl>
  </w:abstractNum>
  <w:abstractNum w:abstractNumId="3">
    <w:nsid w:val="763F0C66"/>
    <w:multiLevelType w:val="singleLevel"/>
    <w:tmpl w:val="763F0C66"/>
    <w:lvl w:ilvl="0" w:tentative="0">
      <w:start w:val="1"/>
      <w:numFmt w:val="none"/>
      <w:lvlText w:val="扬州市消防救援支队"/>
      <w:lvlJc w:val="left"/>
      <w:pPr>
        <w:tabs>
          <w:tab w:val="left" w:pos="420"/>
        </w:tabs>
        <w:ind w:left="425" w:leftChars="0" w:hanging="425" w:firstLineChars="0"/>
      </w:pPr>
      <w:rPr>
        <w:rFont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9FC5422"/>
    <w:rsid w:val="00773916"/>
    <w:rsid w:val="01F33470"/>
    <w:rsid w:val="03226FFC"/>
    <w:rsid w:val="04B2475F"/>
    <w:rsid w:val="08191757"/>
    <w:rsid w:val="0B301291"/>
    <w:rsid w:val="0B492353"/>
    <w:rsid w:val="0F7E400F"/>
    <w:rsid w:val="0F985657"/>
    <w:rsid w:val="10BB15FD"/>
    <w:rsid w:val="12913AB0"/>
    <w:rsid w:val="167A5AB7"/>
    <w:rsid w:val="16B538DE"/>
    <w:rsid w:val="17051824"/>
    <w:rsid w:val="1B8F5B60"/>
    <w:rsid w:val="1C4F3541"/>
    <w:rsid w:val="1FB913FE"/>
    <w:rsid w:val="310E5321"/>
    <w:rsid w:val="3AD849D6"/>
    <w:rsid w:val="3BB30F9F"/>
    <w:rsid w:val="3C43456D"/>
    <w:rsid w:val="41E40104"/>
    <w:rsid w:val="43A37B4B"/>
    <w:rsid w:val="44330ECF"/>
    <w:rsid w:val="47FD3CCE"/>
    <w:rsid w:val="49FC5422"/>
    <w:rsid w:val="4A0155CC"/>
    <w:rsid w:val="4A8F3FE1"/>
    <w:rsid w:val="4D866514"/>
    <w:rsid w:val="516528E4"/>
    <w:rsid w:val="582B2191"/>
    <w:rsid w:val="61475B62"/>
    <w:rsid w:val="632A6B3D"/>
    <w:rsid w:val="66AF0431"/>
    <w:rsid w:val="689E075E"/>
    <w:rsid w:val="690F34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Layout w:type="fixed"/>
      <w:tblCellMar>
        <w:top w:w="0" w:type="dxa"/>
        <w:left w:w="108" w:type="dxa"/>
        <w:bottom w:w="0" w:type="dxa"/>
        <w:right w:w="108" w:type="dxa"/>
      </w:tblCellMar>
    </w:tblPr>
  </w:style>
  <w:style w:type="table" w:styleId="3">
    <w:name w:val="Table Grid"/>
    <w:basedOn w:val="2"/>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24</Pages>
  <Words>13937</Words>
  <Characters>14093</Characters>
  <Lines>0</Lines>
  <Paragraphs>0</Paragraphs>
  <TotalTime>2</TotalTime>
  <ScaleCrop>false</ScaleCrop>
  <LinksUpToDate>false</LinksUpToDate>
  <CharactersWithSpaces>14719</CharactersWithSpaces>
  <Application>WPS Office_11.8.6.8556_F1E327BC-269C-435d-A152-05C5408002CA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2025-01-20T01:58:00Z</dcterms:created>
  <dc:creator>Vitch</dc:creator>
  <cp:lastModifiedBy>Administrator</cp:lastModifiedBy>
  <dcterms:modified xsi:type="dcterms:W3CDTF">2026-07-17T07:51:21Z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2052-11.8.6.8556</vt:lpwstr>
  </property>
  <property fmtid="{D5CDD505-2E9C-101B-9397-08002B2CF9AE}" pid="3" name="ICV">
    <vt:lpwstr>1AE1F20EC612457BBB09B656B0BBEC12_11</vt:lpwstr>
  </property>
  <property fmtid="{D5CDD505-2E9C-101B-9397-08002B2CF9AE}" pid="4" name="KSOTemplateDocerSaveRecord">
    <vt:lpwstr>eyJoZGlkIjoiYjVmY2ZhNTAxYjk0YjRjYTVmOTM4MjE4MzQ0OTFjNzciLCJ1c2VySWQiOiI4NzcyODExNDUifQ==</vt:lpwstr>
  </property>
</Properties>
</file>