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Times New Roman" w:hAnsi="Times New Roman" w:eastAsia="方正小标宋简体" w:cs="Times New Roman"/>
          <w:color w:val="000000" w:themeColor="text1"/>
          <w:kern w:val="0"/>
          <w:sz w:val="44"/>
          <w:szCs w:val="44"/>
          <w:highlight w:val="none"/>
          <w:lang w:val="en-US" w:eastAsia="zh-CN"/>
        </w:rPr>
      </w:pPr>
      <w:r>
        <w:rPr>
          <w:rFonts w:ascii="Times New Roman" w:hAnsi="Times New Roman" w:eastAsia="方正小标宋简体" w:cs="Times New Roman"/>
          <w:color w:val="000000" w:themeColor="text1"/>
          <w:kern w:val="0"/>
          <w:sz w:val="44"/>
          <w:szCs w:val="44"/>
          <w:highlight w:val="none"/>
        </w:rPr>
        <w:t>行政执法事项目录</w:t>
      </w:r>
      <w:r>
        <w:rPr>
          <w:rFonts w:hint="eastAsia" w:ascii="Times New Roman" w:hAnsi="Times New Roman" w:eastAsia="方正小标宋简体" w:cs="Times New Roman"/>
          <w:color w:val="000000" w:themeColor="text1"/>
          <w:kern w:val="0"/>
          <w:sz w:val="44"/>
          <w:szCs w:val="44"/>
          <w:highlight w:val="none"/>
          <w:lang w:eastAsia="zh-CN"/>
        </w:rPr>
        <w:t>（</w:t>
      </w:r>
      <w:r>
        <w:rPr>
          <w:rFonts w:hint="eastAsia" w:ascii="Times New Roman" w:hAnsi="Times New Roman" w:eastAsia="方正小标宋简体" w:cs="Times New Roman"/>
          <w:color w:val="000000" w:themeColor="text1"/>
          <w:kern w:val="0"/>
          <w:sz w:val="44"/>
          <w:szCs w:val="44"/>
          <w:highlight w:val="none"/>
          <w:lang w:val="en-US" w:eastAsia="zh-CN"/>
        </w:rPr>
        <w:t>市级）</w:t>
      </w:r>
    </w:p>
    <w:tbl>
      <w:tblPr>
        <w:tblStyle w:val="6"/>
        <w:tblpPr w:leftFromText="180" w:rightFromText="180" w:vertAnchor="text" w:tblpXSpec="center" w:tblpY="1"/>
        <w:tblOverlap w:val="never"/>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8"/>
        <w:gridCol w:w="3108"/>
        <w:gridCol w:w="1659"/>
        <w:gridCol w:w="3880"/>
        <w:gridCol w:w="1349"/>
        <w:gridCol w:w="137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12131" w:type="dxa"/>
            <w:gridSpan w:val="6"/>
            <w:vAlign w:val="center"/>
          </w:tcPr>
          <w:p>
            <w:pPr>
              <w:spacing w:line="580" w:lineRule="exact"/>
              <w:ind w:firstLine="280" w:firstLineChars="100"/>
              <w:rPr>
                <w:rFonts w:ascii="仿宋_GB2312" w:hAnsi="仿宋_GB2312" w:eastAsia="仿宋_GB2312" w:cs="仿宋_GB2312"/>
                <w:b/>
                <w:color w:val="000000" w:themeColor="text1"/>
                <w:kern w:val="0"/>
                <w:sz w:val="20"/>
                <w:szCs w:val="20"/>
              </w:rPr>
            </w:pPr>
            <w:r>
              <w:rPr>
                <w:rFonts w:ascii="Times New Roman" w:hAnsi="Times New Roman" w:eastAsia="方正仿宋_GBK" w:cs="Times New Roman"/>
                <w:color w:val="000000" w:themeColor="text1"/>
                <w:kern w:val="0"/>
                <w:sz w:val="28"/>
                <w:szCs w:val="28"/>
              </w:rPr>
              <w:t>填报</w:t>
            </w:r>
            <w:r>
              <w:rPr>
                <w:rFonts w:hint="eastAsia" w:ascii="Times New Roman" w:hAnsi="Times New Roman" w:eastAsia="方正仿宋_GBK" w:cs="Times New Roman"/>
                <w:color w:val="000000" w:themeColor="text1"/>
                <w:kern w:val="0"/>
                <w:sz w:val="28"/>
                <w:szCs w:val="28"/>
              </w:rPr>
              <w:t>日期</w:t>
            </w:r>
            <w:r>
              <w:rPr>
                <w:rFonts w:ascii="Times New Roman" w:hAnsi="Times New Roman" w:eastAsia="方正仿宋_GBK" w:cs="Times New Roman"/>
                <w:color w:val="000000" w:themeColor="text1"/>
                <w:kern w:val="0"/>
                <w:sz w:val="28"/>
                <w:szCs w:val="28"/>
              </w:rPr>
              <w:t>：202</w:t>
            </w:r>
            <w:r>
              <w:rPr>
                <w:rFonts w:hint="eastAsia" w:ascii="Times New Roman" w:hAnsi="Times New Roman" w:eastAsia="方正仿宋_GBK" w:cs="Times New Roman"/>
                <w:color w:val="000000" w:themeColor="text1"/>
                <w:kern w:val="0"/>
                <w:sz w:val="28"/>
                <w:szCs w:val="28"/>
                <w:lang w:val="en-US" w:eastAsia="zh-CN"/>
              </w:rPr>
              <w:t>6</w:t>
            </w:r>
            <w:r>
              <w:rPr>
                <w:rFonts w:ascii="Times New Roman" w:hAnsi="Times New Roman" w:eastAsia="方正仿宋_GBK" w:cs="Times New Roman"/>
                <w:color w:val="000000" w:themeColor="text1"/>
                <w:kern w:val="0"/>
                <w:sz w:val="28"/>
                <w:szCs w:val="28"/>
              </w:rPr>
              <w:t>年</w:t>
            </w:r>
            <w:r>
              <w:rPr>
                <w:rFonts w:hint="eastAsia" w:ascii="Times New Roman" w:hAnsi="Times New Roman" w:eastAsia="方正仿宋_GBK" w:cs="Times New Roman"/>
                <w:color w:val="000000" w:themeColor="text1"/>
                <w:kern w:val="0"/>
                <w:sz w:val="28"/>
                <w:szCs w:val="28"/>
                <w:lang w:val="en-US" w:eastAsia="zh-CN"/>
              </w:rPr>
              <w:t>7</w:t>
            </w:r>
            <w:r>
              <w:rPr>
                <w:rFonts w:ascii="Times New Roman" w:hAnsi="Times New Roman" w:eastAsia="方正仿宋_GBK" w:cs="Times New Roman"/>
                <w:color w:val="000000" w:themeColor="text1"/>
                <w:kern w:val="0"/>
                <w:sz w:val="28"/>
                <w:szCs w:val="28"/>
              </w:rPr>
              <w:t>月</w:t>
            </w:r>
            <w:r>
              <w:rPr>
                <w:rFonts w:hint="eastAsia" w:ascii="Times New Roman" w:hAnsi="Times New Roman" w:eastAsia="方正仿宋_GBK" w:cs="Times New Roman"/>
                <w:color w:val="000000" w:themeColor="text1"/>
                <w:kern w:val="0"/>
                <w:sz w:val="28"/>
                <w:szCs w:val="28"/>
                <w:lang w:val="en-US" w:eastAsia="zh-CN"/>
              </w:rPr>
              <w:t>16</w:t>
            </w:r>
            <w:r>
              <w:rPr>
                <w:rFonts w:ascii="Times New Roman" w:hAnsi="Times New Roman" w:eastAsia="方正仿宋_GBK" w:cs="Times New Roman"/>
                <w:color w:val="000000" w:themeColor="text1"/>
                <w:kern w:val="0"/>
                <w:sz w:val="28"/>
                <w:szCs w:val="28"/>
              </w:rPr>
              <w:t>日</w:t>
            </w:r>
            <w:r>
              <w:rPr>
                <w:rFonts w:hint="eastAsia" w:ascii="Times New Roman" w:hAnsi="Times New Roman" w:eastAsia="方正仿宋_GBK" w:cs="Times New Roman"/>
                <w:color w:val="000000" w:themeColor="text1"/>
                <w:kern w:val="0"/>
                <w:sz w:val="28"/>
                <w:szCs w:val="28"/>
                <w:lang w:val="en-US" w:eastAsia="zh-CN"/>
              </w:rPr>
              <w:t xml:space="preserve">        </w:t>
            </w:r>
            <w:r>
              <w:rPr>
                <w:rFonts w:hint="eastAsia" w:ascii="Times New Roman" w:hAnsi="Times New Roman" w:eastAsia="方正仿宋_GBK" w:cs="Times New Roman"/>
                <w:color w:val="000000" w:themeColor="text1"/>
                <w:kern w:val="0"/>
                <w:sz w:val="28"/>
                <w:szCs w:val="28"/>
              </w:rPr>
              <w:t>执法主体（单位名称）：</w:t>
            </w:r>
            <w:r>
              <w:rPr>
                <w:rFonts w:ascii="Times New Roman" w:hAnsi="Times New Roman" w:eastAsia="方正仿宋_GBK" w:cs="Times New Roman"/>
                <w:color w:val="000000" w:themeColor="text1"/>
                <w:kern w:val="0"/>
                <w:sz w:val="28"/>
                <w:szCs w:val="28"/>
              </w:rPr>
              <w:t>（盖章）</w:t>
            </w:r>
            <w:r>
              <w:rPr>
                <w:rFonts w:hint="eastAsia" w:ascii="Times New Roman" w:hAnsi="Times New Roman" w:eastAsia="方正仿宋_GBK" w:cs="Times New Roman"/>
                <w:color w:val="000000" w:themeColor="text1"/>
                <w:kern w:val="0"/>
                <w:sz w:val="28"/>
                <w:szCs w:val="28"/>
                <w:lang w:val="en-US" w:eastAsia="zh-CN"/>
              </w:rPr>
              <w:t>南京市</w:t>
            </w:r>
            <w:r>
              <w:rPr>
                <w:rFonts w:hint="eastAsia" w:ascii="Times New Roman" w:hAnsi="Times New Roman" w:eastAsia="方正仿宋_GBK" w:cs="Times New Roman"/>
                <w:color w:val="000000" w:themeColor="text1"/>
                <w:kern w:val="0"/>
                <w:sz w:val="28"/>
                <w:szCs w:val="28"/>
              </w:rPr>
              <w:t>消防救援</w:t>
            </w:r>
            <w:r>
              <w:rPr>
                <w:rFonts w:hint="eastAsia" w:ascii="Times New Roman" w:hAnsi="Times New Roman" w:eastAsia="方正仿宋_GBK" w:cs="Times New Roman"/>
                <w:color w:val="000000" w:themeColor="text1"/>
                <w:kern w:val="0"/>
                <w:sz w:val="28"/>
                <w:szCs w:val="28"/>
                <w:lang w:val="en-US" w:eastAsia="zh-CN"/>
              </w:rPr>
              <w:t>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758" w:type="dxa"/>
            <w:vAlign w:val="center"/>
          </w:tcPr>
          <w:p>
            <w:pPr>
              <w:widowControl/>
              <w:spacing w:line="320" w:lineRule="exact"/>
              <w:jc w:val="center"/>
              <w:rPr>
                <w:rFonts w:hint="eastAsia" w:ascii="仿宋_GB2312" w:hAnsi="仿宋_GB2312" w:eastAsia="仿宋_GB2312" w:cs="仿宋_GB2312"/>
                <w:b/>
                <w:color w:val="000000" w:themeColor="text1"/>
                <w:kern w:val="0"/>
                <w:sz w:val="20"/>
                <w:szCs w:val="20"/>
                <w:lang w:val="en-US" w:eastAsia="zh-CN" w:bidi="ar-SA"/>
              </w:rPr>
            </w:pPr>
            <w:r>
              <w:rPr>
                <w:rFonts w:hint="eastAsia" w:ascii="仿宋_GB2312" w:hAnsi="仿宋_GB2312" w:eastAsia="仿宋_GB2312" w:cs="仿宋_GB2312"/>
                <w:b/>
                <w:color w:val="000000" w:themeColor="text1"/>
                <w:kern w:val="0"/>
                <w:sz w:val="20"/>
                <w:szCs w:val="20"/>
              </w:rPr>
              <w:t>序号</w:t>
            </w:r>
          </w:p>
        </w:tc>
        <w:tc>
          <w:tcPr>
            <w:tcW w:w="3108" w:type="dxa"/>
            <w:vAlign w:val="center"/>
          </w:tcPr>
          <w:p>
            <w:pPr>
              <w:widowControl/>
              <w:spacing w:line="320" w:lineRule="exact"/>
              <w:jc w:val="center"/>
              <w:rPr>
                <w:rFonts w:hint="eastAsia" w:ascii="仿宋_GB2312" w:hAnsi="仿宋_GB2312" w:eastAsia="仿宋_GB2312" w:cs="仿宋_GB2312"/>
                <w:b/>
                <w:color w:val="000000" w:themeColor="text1"/>
                <w:kern w:val="0"/>
                <w:sz w:val="20"/>
                <w:szCs w:val="20"/>
                <w:lang w:val="en-US" w:eastAsia="zh-CN" w:bidi="ar-SA"/>
              </w:rPr>
            </w:pPr>
            <w:r>
              <w:rPr>
                <w:rFonts w:hint="eastAsia" w:ascii="仿宋_GB2312" w:hAnsi="仿宋_GB2312" w:eastAsia="仿宋_GB2312" w:cs="仿宋_GB2312"/>
                <w:b/>
                <w:color w:val="000000" w:themeColor="text1"/>
                <w:kern w:val="0"/>
                <w:sz w:val="20"/>
                <w:szCs w:val="20"/>
              </w:rPr>
              <w:t>事项名称</w:t>
            </w:r>
          </w:p>
        </w:tc>
        <w:tc>
          <w:tcPr>
            <w:tcW w:w="1659" w:type="dxa"/>
            <w:vAlign w:val="center"/>
          </w:tcPr>
          <w:p>
            <w:pPr>
              <w:widowControl/>
              <w:snapToGrid w:val="0"/>
              <w:spacing w:line="320" w:lineRule="exact"/>
              <w:jc w:val="center"/>
              <w:rPr>
                <w:rFonts w:hint="eastAsia" w:ascii="仿宋_GB2312" w:hAnsi="仿宋_GB2312" w:eastAsia="仿宋_GB2312" w:cs="仿宋_GB2312"/>
                <w:b/>
                <w:color w:val="000000" w:themeColor="text1"/>
                <w:kern w:val="0"/>
                <w:sz w:val="20"/>
                <w:szCs w:val="20"/>
                <w:lang w:val="en-US" w:eastAsia="zh-CN" w:bidi="ar-SA"/>
              </w:rPr>
            </w:pPr>
            <w:r>
              <w:rPr>
                <w:rFonts w:hint="eastAsia" w:ascii="仿宋_GB2312" w:hAnsi="仿宋_GB2312" w:eastAsia="仿宋_GB2312" w:cs="仿宋_GB2312"/>
                <w:b/>
                <w:color w:val="000000" w:themeColor="text1"/>
                <w:kern w:val="0"/>
                <w:sz w:val="20"/>
                <w:szCs w:val="20"/>
              </w:rPr>
              <w:t>行政执法类型</w:t>
            </w:r>
          </w:p>
        </w:tc>
        <w:tc>
          <w:tcPr>
            <w:tcW w:w="3880" w:type="dxa"/>
            <w:vAlign w:val="center"/>
          </w:tcPr>
          <w:p>
            <w:pPr>
              <w:widowControl/>
              <w:spacing w:line="320" w:lineRule="exact"/>
              <w:jc w:val="center"/>
              <w:rPr>
                <w:rFonts w:hint="eastAsia" w:ascii="仿宋_GB2312" w:hAnsi="仿宋_GB2312" w:eastAsia="仿宋_GB2312" w:cs="仿宋_GB2312"/>
                <w:b/>
                <w:color w:val="000000" w:themeColor="text1"/>
                <w:kern w:val="0"/>
                <w:sz w:val="20"/>
                <w:szCs w:val="20"/>
                <w:lang w:val="en-US" w:eastAsia="zh-CN" w:bidi="ar-SA"/>
              </w:rPr>
            </w:pPr>
            <w:r>
              <w:rPr>
                <w:rFonts w:hint="eastAsia" w:ascii="仿宋_GB2312" w:hAnsi="仿宋_GB2312" w:eastAsia="仿宋_GB2312" w:cs="仿宋_GB2312"/>
                <w:b/>
                <w:color w:val="000000" w:themeColor="text1"/>
                <w:kern w:val="0"/>
                <w:sz w:val="20"/>
                <w:szCs w:val="20"/>
              </w:rPr>
              <w:t>执法依据</w:t>
            </w:r>
          </w:p>
        </w:tc>
        <w:tc>
          <w:tcPr>
            <w:tcW w:w="1349" w:type="dxa"/>
            <w:vAlign w:val="center"/>
          </w:tcPr>
          <w:p>
            <w:pPr>
              <w:widowControl/>
              <w:snapToGrid w:val="0"/>
              <w:spacing w:line="320" w:lineRule="exact"/>
              <w:jc w:val="center"/>
              <w:rPr>
                <w:rFonts w:hint="eastAsia" w:ascii="仿宋_GB2312" w:hAnsi="仿宋_GB2312" w:eastAsia="仿宋_GB2312" w:cs="仿宋_GB2312"/>
                <w:b/>
                <w:color w:val="000000" w:themeColor="text1"/>
                <w:kern w:val="0"/>
                <w:sz w:val="20"/>
                <w:szCs w:val="20"/>
                <w:lang w:val="en-US" w:eastAsia="zh-CN" w:bidi="ar-SA"/>
              </w:rPr>
            </w:pPr>
            <w:r>
              <w:rPr>
                <w:rFonts w:hint="eastAsia" w:ascii="仿宋_GB2312" w:hAnsi="仿宋_GB2312" w:eastAsia="仿宋_GB2312" w:cs="仿宋_GB2312"/>
                <w:b/>
                <w:color w:val="000000" w:themeColor="text1"/>
                <w:kern w:val="0"/>
                <w:sz w:val="20"/>
                <w:szCs w:val="20"/>
              </w:rPr>
              <w:t>实施层级</w:t>
            </w:r>
          </w:p>
        </w:tc>
        <w:tc>
          <w:tcPr>
            <w:tcW w:w="1377" w:type="dxa"/>
            <w:vAlign w:val="center"/>
          </w:tcPr>
          <w:p>
            <w:pPr>
              <w:widowControl/>
              <w:spacing w:line="320" w:lineRule="exact"/>
              <w:jc w:val="center"/>
              <w:rPr>
                <w:rFonts w:hint="eastAsia" w:ascii="仿宋_GB2312" w:hAnsi="仿宋_GB2312" w:eastAsia="仿宋_GB2312" w:cs="仿宋_GB2312"/>
                <w:b/>
                <w:color w:val="000000" w:themeColor="text1"/>
                <w:kern w:val="0"/>
                <w:sz w:val="20"/>
                <w:szCs w:val="20"/>
                <w:lang w:val="en-US" w:eastAsia="zh-CN" w:bidi="ar-SA"/>
              </w:rPr>
            </w:pPr>
            <w:r>
              <w:rPr>
                <w:rFonts w:hint="eastAsia" w:ascii="仿宋_GB2312" w:hAnsi="仿宋_GB2312" w:eastAsia="仿宋_GB2312" w:cs="仿宋_GB2312"/>
                <w:b/>
                <w:color w:val="000000" w:themeColor="text1"/>
                <w:kern w:val="0"/>
                <w:sz w:val="20"/>
                <w:szCs w:val="20"/>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default"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未保持消防车通道、消防车登高操作场地等标线完好有效的，逾期不改正的行政处罚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en-US"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rPr>
            </w:pPr>
            <w:r>
              <w:rPr>
                <w:rFonts w:hint="eastAsia" w:ascii="仿宋_GB2312" w:hAnsi="仿宋_GB2312" w:eastAsia="仿宋_GB2312" w:cs="仿宋_GB2312"/>
                <w:color w:val="000000" w:themeColor="text1"/>
                <w:kern w:val="0"/>
                <w:sz w:val="20"/>
                <w:szCs w:val="20"/>
              </w:rPr>
              <w:t>【地方性法规】《</w:t>
            </w:r>
            <w:r>
              <w:rPr>
                <w:rFonts w:hint="eastAsia" w:ascii="仿宋_GB2312" w:hAnsi="仿宋_GB2312" w:eastAsia="仿宋_GB2312" w:cs="仿宋_GB2312"/>
                <w:color w:val="000000" w:themeColor="text1"/>
                <w:kern w:val="0"/>
                <w:sz w:val="20"/>
                <w:szCs w:val="20"/>
                <w:lang w:eastAsia="zh-CN"/>
              </w:rPr>
              <w:t>南京市消防条例</w:t>
            </w:r>
            <w:r>
              <w:rPr>
                <w:rFonts w:hint="eastAsia" w:ascii="仿宋_GB2312" w:hAnsi="仿宋_GB2312" w:eastAsia="仿宋_GB2312" w:cs="仿宋_GB2312"/>
                <w:color w:val="000000" w:themeColor="text1"/>
                <w:kern w:val="0"/>
                <w:sz w:val="20"/>
                <w:szCs w:val="20"/>
              </w:rPr>
              <w:t>》第十</w:t>
            </w:r>
            <w:r>
              <w:rPr>
                <w:rFonts w:hint="eastAsia" w:ascii="仿宋_GB2312" w:hAnsi="仿宋_GB2312" w:eastAsia="仿宋_GB2312" w:cs="仿宋_GB2312"/>
                <w:color w:val="000000" w:themeColor="text1"/>
                <w:kern w:val="0"/>
                <w:sz w:val="20"/>
                <w:szCs w:val="20"/>
                <w:lang w:eastAsia="zh-CN"/>
              </w:rPr>
              <w:t>七</w:t>
            </w:r>
            <w:r>
              <w:rPr>
                <w:rFonts w:hint="eastAsia" w:ascii="仿宋_GB2312" w:hAnsi="仿宋_GB2312" w:eastAsia="仿宋_GB2312" w:cs="仿宋_GB2312"/>
                <w:color w:val="000000" w:themeColor="text1"/>
                <w:kern w:val="0"/>
                <w:sz w:val="20"/>
                <w:szCs w:val="20"/>
              </w:rPr>
              <w:t>条第二项</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rPr>
              <w:t>物业服务企业在物业管理区域内应当履行下列消防安全职责：（二）为消防车通道、消防车登高操作场地等设置醒目的标线，并定期组织检查、维护，确保完好有效；</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《南京市消防条例》第七十条</w:t>
            </w:r>
            <w:r>
              <w:rPr>
                <w:rFonts w:hint="eastAsia" w:ascii="仿宋_GB2312" w:hAnsi="仿宋_GB2312" w:eastAsia="仿宋_GB2312" w:cs="仿宋_GB2312"/>
                <w:color w:val="000000" w:themeColor="text1"/>
                <w:kern w:val="0"/>
                <w:sz w:val="20"/>
                <w:szCs w:val="20"/>
                <w:lang w:val="en-US" w:eastAsia="zh-CN"/>
              </w:rPr>
              <w:t>第一项</w:t>
            </w:r>
            <w:r>
              <w:rPr>
                <w:rFonts w:hint="eastAsia" w:ascii="仿宋_GB2312" w:hAnsi="仿宋_GB2312" w:eastAsia="仿宋_GB2312" w:cs="仿宋_GB2312"/>
                <w:color w:val="000000" w:themeColor="text1"/>
                <w:kern w:val="0"/>
                <w:sz w:val="20"/>
                <w:szCs w:val="20"/>
                <w:lang w:eastAsia="zh-CN"/>
              </w:rPr>
              <w:t xml:space="preserve"> 违反本条例第十七条规定，物业服务企业有下列情形之一的，由消防救援机构责令限期改正；逾期不改正的，处二千元以上二万元以下罚款：</w:t>
            </w:r>
          </w:p>
          <w:p>
            <w:pPr>
              <w:widowControl/>
              <w:ind w:firstLine="400" w:firstLineChars="200"/>
              <w:jc w:val="left"/>
              <w:textAlignment w:val="center"/>
              <w:rPr>
                <w:rFonts w:hint="eastAsia" w:ascii="仿宋_GB2312" w:hAnsi="仿宋_GB2312" w:eastAsia="仿宋_GB2312" w:cs="仿宋_GB2312"/>
                <w:snapToGrid w:val="0"/>
                <w:color w:val="000000" w:themeColor="text1"/>
                <w:kern w:val="0"/>
                <w:sz w:val="21"/>
                <w:szCs w:val="21"/>
                <w:lang w:val="en-US" w:eastAsia="zh-CN"/>
              </w:rPr>
            </w:pPr>
            <w:r>
              <w:rPr>
                <w:rFonts w:hint="eastAsia" w:ascii="仿宋_GB2312" w:hAnsi="仿宋_GB2312" w:eastAsia="仿宋_GB2312" w:cs="仿宋_GB2312"/>
                <w:color w:val="000000" w:themeColor="text1"/>
                <w:kern w:val="0"/>
                <w:sz w:val="20"/>
                <w:szCs w:val="20"/>
                <w:lang w:eastAsia="zh-CN"/>
              </w:rPr>
              <w:t>（一）未保持消防车通道、消防车登高操作场地等标线完好有效的；</w:t>
            </w:r>
          </w:p>
        </w:tc>
        <w:tc>
          <w:tcPr>
            <w:tcW w:w="1349" w:type="dxa"/>
            <w:vAlign w:val="top"/>
          </w:tcPr>
          <w:p>
            <w:pPr>
              <w:pStyle w:val="9"/>
              <w:keepNext w:val="0"/>
              <w:keepLines w:val="0"/>
              <w:pageBreakBefore w:val="0"/>
              <w:widowControl w:val="0"/>
              <w:kinsoku/>
              <w:wordWrap/>
              <w:overflowPunct/>
              <w:topLinePunct w:val="0"/>
              <w:autoSpaceDE/>
              <w:autoSpaceDN/>
              <w:bidi w:val="0"/>
              <w:adjustRightInd/>
              <w:snapToGrid/>
              <w:spacing w:line="380" w:lineRule="exact"/>
              <w:ind w:firstLine="186" w:firstLineChars="100"/>
              <w:jc w:val="left"/>
              <w:textAlignment w:val="auto"/>
              <w:rPr>
                <w:rFonts w:hint="eastAsia" w:ascii="仿宋_GB2312" w:hAnsi="仿宋_GB2312" w:eastAsia="仿宋_GB2312" w:cs="仿宋_GB2312"/>
                <w:color w:val="000000" w:themeColor="text1"/>
                <w:kern w:val="2"/>
                <w:sz w:val="21"/>
                <w:szCs w:val="21"/>
                <w:lang w:val="en-US" w:eastAsia="zh-CN" w:bidi="ar-SA"/>
              </w:rPr>
            </w:pPr>
            <w:r>
              <w:rPr>
                <w:rFonts w:hint="eastAsia" w:ascii="仿宋_GB2312" w:hAnsi="仿宋_GB2312" w:eastAsia="仿宋_GB2312" w:cs="仿宋_GB2312"/>
                <w:color w:val="000000" w:themeColor="text1"/>
                <w:spacing w:val="-12"/>
                <w:sz w:val="21"/>
                <w:szCs w:val="21"/>
              </w:rPr>
              <w:t>市、</w:t>
            </w:r>
            <w:r>
              <w:rPr>
                <w:rFonts w:hint="eastAsia" w:ascii="仿宋_GB2312" w:hAnsi="仿宋_GB2312" w:eastAsia="仿宋_GB2312" w:cs="仿宋_GB2312"/>
                <w:color w:val="000000" w:themeColor="text1"/>
                <w:sz w:val="21"/>
                <w:szCs w:val="21"/>
              </w:rPr>
              <w:t xml:space="preserve"> </w:t>
            </w:r>
            <w:r>
              <w:rPr>
                <w:rFonts w:hint="eastAsia" w:ascii="仿宋_GB2312" w:hAnsi="仿宋_GB2312" w:eastAsia="仿宋_GB2312" w:cs="仿宋_GB2312"/>
                <w:color w:val="000000" w:themeColor="text1"/>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未制定消防安全制度的，逾期不改正的行政处罚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【地方性法规】《南京市消防条例》第十七条</w:t>
            </w:r>
            <w:r>
              <w:rPr>
                <w:rFonts w:hint="eastAsia" w:ascii="仿宋_GB2312" w:hAnsi="仿宋_GB2312" w:eastAsia="仿宋_GB2312" w:cs="仿宋_GB2312"/>
                <w:color w:val="000000" w:themeColor="text1"/>
                <w:kern w:val="0"/>
                <w:sz w:val="20"/>
                <w:szCs w:val="20"/>
                <w:lang w:val="en-US" w:eastAsia="zh-CN"/>
              </w:rPr>
              <w:t xml:space="preserve">第三项 </w:t>
            </w:r>
            <w:r>
              <w:rPr>
                <w:rFonts w:hint="eastAsia" w:ascii="仿宋_GB2312" w:hAnsi="仿宋_GB2312" w:eastAsia="仿宋_GB2312" w:cs="仿宋_GB2312"/>
                <w:color w:val="000000" w:themeColor="text1"/>
                <w:kern w:val="0"/>
                <w:sz w:val="20"/>
                <w:szCs w:val="20"/>
                <w:lang w:eastAsia="zh-CN"/>
              </w:rPr>
              <w:t>物业服务企业在物业管理区域内应当履行下列消防安全职责：</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（三）制定并落实消防安全制度、操作规程，实行岗位消防安全责任制，组织对所属员工进行消防安全培训、消防疏散逃生演练；</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《南京市消防条例》第七十条</w:t>
            </w:r>
            <w:r>
              <w:rPr>
                <w:rFonts w:hint="eastAsia" w:ascii="仿宋_GB2312" w:hAnsi="仿宋_GB2312" w:eastAsia="仿宋_GB2312" w:cs="仿宋_GB2312"/>
                <w:color w:val="000000" w:themeColor="text1"/>
                <w:kern w:val="0"/>
                <w:sz w:val="20"/>
                <w:szCs w:val="20"/>
                <w:lang w:val="en-US" w:eastAsia="zh-CN"/>
              </w:rPr>
              <w:t>第二项</w:t>
            </w:r>
            <w:r>
              <w:rPr>
                <w:rFonts w:hint="eastAsia" w:ascii="仿宋_GB2312" w:hAnsi="仿宋_GB2312" w:eastAsia="仿宋_GB2312" w:cs="仿宋_GB2312"/>
                <w:color w:val="000000" w:themeColor="text1"/>
                <w:kern w:val="0"/>
                <w:sz w:val="20"/>
                <w:szCs w:val="20"/>
                <w:lang w:eastAsia="zh-CN"/>
              </w:rPr>
              <w:t xml:space="preserve"> 违反本条例第十七条规定，物业服务企业有下列情形之一的，由消防救援机构责令限期改正；逾期不改正的，处二千元以上二万元以下罚款：</w:t>
            </w:r>
          </w:p>
          <w:p>
            <w:pPr>
              <w:widowControl/>
              <w:ind w:firstLine="400" w:firstLineChars="200"/>
              <w:jc w:val="left"/>
              <w:textAlignment w:val="center"/>
              <w:rPr>
                <w:rFonts w:hint="eastAsia" w:ascii="仿宋_GB2312" w:hAnsi="仿宋_GB2312" w:eastAsia="仿宋_GB2312" w:cs="仿宋_GB2312"/>
                <w:color w:val="000000" w:themeColor="text1"/>
                <w:kern w:val="2"/>
                <w:sz w:val="21"/>
                <w:szCs w:val="21"/>
                <w:lang w:val="en-US" w:eastAsia="zh-CN" w:bidi="ar-SA"/>
              </w:rPr>
            </w:pPr>
            <w:r>
              <w:rPr>
                <w:rFonts w:hint="eastAsia" w:ascii="仿宋_GB2312" w:hAnsi="仿宋_GB2312" w:eastAsia="仿宋_GB2312" w:cs="仿宋_GB2312"/>
                <w:color w:val="000000" w:themeColor="text1"/>
                <w:kern w:val="0"/>
                <w:sz w:val="20"/>
                <w:szCs w:val="20"/>
                <w:lang w:eastAsia="zh-CN"/>
              </w:rPr>
              <w:t>（二）未制定消防安全制度的；</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000000" w:themeColor="text1"/>
                <w:kern w:val="2"/>
                <w:sz w:val="21"/>
                <w:szCs w:val="21"/>
                <w:lang w:val="en-US" w:eastAsia="zh-CN" w:bidi="ar-SA"/>
              </w:rPr>
            </w:pPr>
            <w:r>
              <w:rPr>
                <w:rFonts w:hint="eastAsia" w:ascii="仿宋_GB2312" w:hAnsi="仿宋_GB2312" w:eastAsia="仿宋_GB2312" w:cs="仿宋_GB2312"/>
                <w:color w:val="000000" w:themeColor="text1"/>
                <w:spacing w:val="-12"/>
                <w:sz w:val="21"/>
                <w:szCs w:val="21"/>
              </w:rPr>
              <w:t>市、</w:t>
            </w:r>
            <w:r>
              <w:rPr>
                <w:rFonts w:hint="eastAsia" w:ascii="仿宋_GB2312" w:hAnsi="仿宋_GB2312" w:eastAsia="仿宋_GB2312" w:cs="仿宋_GB2312"/>
                <w:color w:val="000000" w:themeColor="text1"/>
                <w:sz w:val="21"/>
                <w:szCs w:val="21"/>
              </w:rPr>
              <w:t xml:space="preserve"> </w:t>
            </w:r>
            <w:r>
              <w:rPr>
                <w:rFonts w:hint="eastAsia" w:ascii="仿宋_GB2312" w:hAnsi="仿宋_GB2312" w:eastAsia="仿宋_GB2312" w:cs="仿宋_GB2312"/>
                <w:color w:val="000000" w:themeColor="text1"/>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未定期对共用部位、设施开展防火巡查、检查的，逾期不改正的行政处罚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en-US"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【地方性法规】《南京市消防条例》第十七条第四项 物业服务企业在物业管理区域内应当履行下列消防安全职责：（四）定期对共用部位开展防火巡查、检查，发现火灾隐患的应当及时处理，无法处理的应当及时向有关部门或者单位报告；</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《南京市消防条例》第七十条第</w:t>
            </w:r>
            <w:r>
              <w:rPr>
                <w:rFonts w:hint="eastAsia" w:ascii="仿宋_GB2312" w:hAnsi="仿宋_GB2312" w:eastAsia="仿宋_GB2312" w:cs="仿宋_GB2312"/>
                <w:color w:val="000000" w:themeColor="text1"/>
                <w:kern w:val="0"/>
                <w:sz w:val="20"/>
                <w:szCs w:val="20"/>
                <w:lang w:val="en-US" w:eastAsia="zh-CN"/>
              </w:rPr>
              <w:t>三</w:t>
            </w:r>
            <w:r>
              <w:rPr>
                <w:rFonts w:hint="eastAsia" w:ascii="仿宋_GB2312" w:hAnsi="仿宋_GB2312" w:eastAsia="仿宋_GB2312" w:cs="仿宋_GB2312"/>
                <w:color w:val="000000" w:themeColor="text1"/>
                <w:kern w:val="0"/>
                <w:sz w:val="20"/>
                <w:szCs w:val="20"/>
                <w:lang w:eastAsia="zh-CN"/>
              </w:rPr>
              <w:t>项</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违反本条例第十七条规定，物业服务企业有下列情形之一的，由消防救援机构责令限期改正；逾期不改正的，处二千元以上二万元以下罚款：</w:t>
            </w:r>
          </w:p>
          <w:p>
            <w:pPr>
              <w:widowControl/>
              <w:ind w:firstLine="400" w:firstLineChars="200"/>
              <w:jc w:val="left"/>
              <w:textAlignment w:val="center"/>
              <w:rPr>
                <w:rFonts w:hint="eastAsia" w:ascii="仿宋_GB2312" w:hAnsi="仿宋_GB2312" w:eastAsia="仿宋_GB2312" w:cs="仿宋_GB2312"/>
                <w:snapToGrid w:val="0"/>
                <w:color w:val="000000" w:themeColor="text1"/>
                <w:kern w:val="0"/>
                <w:sz w:val="21"/>
                <w:szCs w:val="21"/>
                <w:lang w:val="en-US" w:eastAsia="zh-CN"/>
              </w:rPr>
            </w:pPr>
            <w:r>
              <w:rPr>
                <w:rFonts w:hint="eastAsia" w:ascii="仿宋_GB2312" w:hAnsi="仿宋_GB2312" w:eastAsia="仿宋_GB2312" w:cs="仿宋_GB2312"/>
                <w:color w:val="000000" w:themeColor="text1"/>
                <w:kern w:val="0"/>
                <w:sz w:val="20"/>
                <w:szCs w:val="20"/>
                <w:lang w:eastAsia="zh-CN"/>
              </w:rPr>
              <w:t>（三）未定期对共用部位、设施开展防火巡查、检查的；</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000000" w:themeColor="text1"/>
                <w:kern w:val="2"/>
                <w:sz w:val="21"/>
                <w:szCs w:val="22"/>
                <w:lang w:val="en-US" w:eastAsia="zh-CN" w:bidi="ar-SA"/>
              </w:rPr>
            </w:pPr>
            <w:r>
              <w:rPr>
                <w:rFonts w:hint="eastAsia" w:ascii="仿宋_GB2312" w:hAnsi="仿宋_GB2312" w:eastAsia="仿宋_GB2312" w:cs="仿宋_GB2312"/>
                <w:color w:val="000000" w:themeColor="text1"/>
                <w:spacing w:val="-12"/>
                <w:sz w:val="21"/>
                <w:szCs w:val="21"/>
              </w:rPr>
              <w:t>市、</w:t>
            </w:r>
            <w:r>
              <w:rPr>
                <w:rFonts w:hint="eastAsia" w:ascii="仿宋_GB2312" w:hAnsi="仿宋_GB2312" w:eastAsia="仿宋_GB2312" w:cs="仿宋_GB2312"/>
                <w:color w:val="000000" w:themeColor="text1"/>
                <w:sz w:val="21"/>
                <w:szCs w:val="21"/>
              </w:rPr>
              <w:t xml:space="preserve"> </w:t>
            </w:r>
            <w:r>
              <w:rPr>
                <w:rFonts w:hint="eastAsia" w:ascii="仿宋_GB2312" w:hAnsi="仿宋_GB2312" w:eastAsia="仿宋_GB2312" w:cs="仿宋_GB2312"/>
                <w:color w:val="000000" w:themeColor="text1"/>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未制定灭火和应急疏散预案</w:t>
            </w:r>
            <w:bookmarkStart w:id="0" w:name="_GoBack"/>
            <w:bookmarkEnd w:id="0"/>
            <w:r>
              <w:rPr>
                <w:rFonts w:hint="eastAsia" w:ascii="仿宋_GB2312" w:hAnsi="仿宋_GB2312" w:eastAsia="仿宋_GB2312" w:cs="仿宋_GB2312"/>
                <w:color w:val="000000" w:themeColor="text1"/>
                <w:kern w:val="0"/>
                <w:sz w:val="20"/>
                <w:szCs w:val="20"/>
                <w:lang w:val="en-US" w:eastAsia="zh-CN" w:bidi="ar-SA"/>
              </w:rPr>
              <w:t>的，逾期不改正的行政处罚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【地方性法规】《南京市消防条例》第十七条第六项 物业服务企业在物业管理区域内应当履行下列消防安全职责：</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（六）制定灭火和应急疏散预案，落实消防控制室管理制度，发现火灾及时处置并报警，积极协助组织扑救并保护火灾现场，配合火灾事故调查；</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《南京市消防条例》第七十条 违反本条例第十七条规定，物业服务企业有下列情形之一的，由消防救援机构责令限期改正；逾期不改正的，处二千元以上二万元以下罚款：</w:t>
            </w:r>
          </w:p>
          <w:p>
            <w:pPr>
              <w:widowControl/>
              <w:ind w:firstLine="400" w:firstLineChars="200"/>
              <w:jc w:val="left"/>
              <w:textAlignment w:val="center"/>
              <w:rPr>
                <w:rFonts w:hint="eastAsia" w:ascii="仿宋_GB2312" w:hAnsi="仿宋_GB2312" w:eastAsia="仿宋_GB2312" w:cs="仿宋_GB2312"/>
                <w:color w:val="000000" w:themeColor="text1"/>
                <w:kern w:val="2"/>
                <w:sz w:val="21"/>
                <w:szCs w:val="21"/>
                <w:lang w:val="en-US" w:eastAsia="zh-CN" w:bidi="ar-SA"/>
              </w:rPr>
            </w:pPr>
            <w:r>
              <w:rPr>
                <w:rFonts w:hint="eastAsia" w:ascii="仿宋_GB2312" w:hAnsi="仿宋_GB2312" w:eastAsia="仿宋_GB2312" w:cs="仿宋_GB2312"/>
                <w:color w:val="000000" w:themeColor="text1"/>
                <w:kern w:val="0"/>
                <w:sz w:val="20"/>
                <w:szCs w:val="20"/>
                <w:lang w:eastAsia="zh-CN"/>
              </w:rPr>
              <w:t>（四）未制定灭火和应急疏散预案的。</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000000" w:themeColor="text1"/>
                <w:kern w:val="2"/>
                <w:sz w:val="21"/>
                <w:szCs w:val="22"/>
                <w:lang w:val="en-US" w:eastAsia="zh-CN" w:bidi="ar-SA"/>
              </w:rPr>
            </w:pPr>
            <w:r>
              <w:rPr>
                <w:rFonts w:hint="eastAsia" w:ascii="仿宋_GB2312" w:hAnsi="仿宋_GB2312" w:eastAsia="仿宋_GB2312" w:cs="仿宋_GB2312"/>
                <w:color w:val="000000" w:themeColor="text1"/>
                <w:spacing w:val="-12"/>
                <w:sz w:val="21"/>
                <w:szCs w:val="21"/>
              </w:rPr>
              <w:t>市、</w:t>
            </w:r>
            <w:r>
              <w:rPr>
                <w:rFonts w:hint="eastAsia" w:ascii="仿宋_GB2312" w:hAnsi="仿宋_GB2312" w:eastAsia="仿宋_GB2312" w:cs="仿宋_GB2312"/>
                <w:color w:val="000000" w:themeColor="text1"/>
                <w:sz w:val="21"/>
                <w:szCs w:val="21"/>
              </w:rPr>
              <w:t xml:space="preserve"> </w:t>
            </w:r>
            <w:r>
              <w:rPr>
                <w:rFonts w:hint="eastAsia" w:ascii="仿宋_GB2312" w:hAnsi="仿宋_GB2312" w:eastAsia="仿宋_GB2312" w:cs="仿宋_GB2312"/>
                <w:color w:val="000000" w:themeColor="text1"/>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人员密集场所的视频设备不具有消防安全提示功能，逾期不改正的行政处罚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【地方性法规】《南京市消防条例》第三十九条第一款第四项</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人员密集场所、高层和地下公共建筑应当遵守有关消防安全规定，并符合下列要求：</w:t>
            </w:r>
          </w:p>
          <w:p>
            <w:pPr>
              <w:widowControl/>
              <w:numPr>
                <w:ilvl w:val="0"/>
                <w:numId w:val="2"/>
              </w:numPr>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视频设备应当具有消防安全提示功能；</w:t>
            </w:r>
          </w:p>
          <w:p>
            <w:pPr>
              <w:widowControl/>
              <w:numPr>
                <w:ilvl w:val="0"/>
                <w:numId w:val="0"/>
              </w:numPr>
              <w:ind w:firstLine="200" w:firstLineChars="100"/>
              <w:jc w:val="left"/>
              <w:textAlignment w:val="center"/>
              <w:rPr>
                <w:rFonts w:hint="eastAsia" w:ascii="仿宋_GB2312" w:hAnsi="仿宋_GB2312" w:eastAsia="仿宋_GB2312" w:cs="仿宋_GB2312"/>
                <w:color w:val="000000" w:themeColor="text1"/>
                <w:spacing w:val="-3"/>
                <w:sz w:val="21"/>
                <w:szCs w:val="21"/>
                <w:lang w:val="en-US" w:eastAsia="zh-CN"/>
              </w:rPr>
            </w:pPr>
            <w:r>
              <w:rPr>
                <w:rFonts w:hint="eastAsia" w:ascii="仿宋_GB2312" w:hAnsi="仿宋_GB2312" w:eastAsia="仿宋_GB2312" w:cs="仿宋_GB2312"/>
                <w:color w:val="000000" w:themeColor="text1"/>
                <w:kern w:val="0"/>
                <w:sz w:val="20"/>
                <w:szCs w:val="20"/>
                <w:lang w:eastAsia="zh-CN"/>
              </w:rPr>
              <w:t>《南京市消防条例》第七十一条 违反本条例规定，人员密集场所的视频设备不具有消防安全提示功能或者公共娱乐场所未设立消防安全疏散引导员的，由消防救援机构责令限期改正；逾期不改正的，处五百元以上五千元以下罚款。</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000000" w:themeColor="text1"/>
                <w:spacing w:val="-3"/>
                <w:kern w:val="2"/>
                <w:sz w:val="21"/>
                <w:szCs w:val="21"/>
                <w:lang w:val="en-US" w:eastAsia="zh-CN" w:bidi="ar-SA"/>
              </w:rPr>
            </w:pPr>
            <w:r>
              <w:rPr>
                <w:rFonts w:hint="eastAsia" w:ascii="仿宋_GB2312" w:hAnsi="仿宋_GB2312" w:eastAsia="仿宋_GB2312" w:cs="仿宋_GB2312"/>
                <w:color w:val="000000" w:themeColor="text1"/>
                <w:spacing w:val="-3"/>
                <w:sz w:val="21"/>
                <w:szCs w:val="21"/>
              </w:rPr>
              <w:t xml:space="preserve">市、 </w:t>
            </w:r>
            <w:r>
              <w:rPr>
                <w:rFonts w:hint="eastAsia" w:ascii="仿宋_GB2312" w:hAnsi="仿宋_GB2312" w:eastAsia="仿宋_GB2312" w:cs="仿宋_GB2312"/>
                <w:color w:val="000000" w:themeColor="text1"/>
                <w:spacing w:val="-3"/>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公共娱乐场所未设立消防安全疏散引导员的，逾期不改正的行政处罚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【地方性法规】《南京市消防条例》第四十二条第一款第一项</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公共娱乐场所应当遵守下列消防安全管理规定：</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（一）制定防火安全管理制度和紧急安全疏散方案，设立消防安全疏散引导员，在营业时间和营业结束后指定专人进行安全巡视检查；</w:t>
            </w:r>
          </w:p>
          <w:p>
            <w:pPr>
              <w:widowControl/>
              <w:ind w:firstLine="400" w:firstLineChars="200"/>
              <w:jc w:val="left"/>
              <w:textAlignment w:val="center"/>
              <w:rPr>
                <w:rFonts w:hint="eastAsia" w:ascii="仿宋_GB2312" w:hAnsi="仿宋_GB2312" w:eastAsia="仿宋_GB2312" w:cs="仿宋_GB2312"/>
                <w:color w:val="000000" w:themeColor="text1"/>
                <w:spacing w:val="-3"/>
                <w:sz w:val="21"/>
                <w:szCs w:val="21"/>
                <w:lang w:val="en-US" w:eastAsia="zh-CN"/>
              </w:rPr>
            </w:pPr>
            <w:r>
              <w:rPr>
                <w:rFonts w:hint="eastAsia" w:ascii="仿宋_GB2312" w:hAnsi="仿宋_GB2312" w:eastAsia="仿宋_GB2312" w:cs="仿宋_GB2312"/>
                <w:color w:val="000000" w:themeColor="text1"/>
                <w:kern w:val="0"/>
                <w:sz w:val="20"/>
                <w:szCs w:val="20"/>
                <w:lang w:eastAsia="zh-CN"/>
              </w:rPr>
              <w:t>《南京市消防条例》第七十一条 违反本条例规定，人员密集场所的视频设备不具有消防安全提示功能或者公共娱乐场所未设立消防安全疏散引导员的，由消防救援机构责令限期改正；逾期不改正的，处五百元以上五千元以下罚款。</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snapToGrid w:val="0"/>
                <w:color w:val="000000" w:themeColor="text1"/>
                <w:spacing w:val="-3"/>
                <w:kern w:val="0"/>
                <w:sz w:val="21"/>
                <w:szCs w:val="21"/>
                <w:lang w:val="en-US" w:eastAsia="zh-CN" w:bidi="ar-SA"/>
              </w:rPr>
            </w:pPr>
            <w:r>
              <w:rPr>
                <w:rFonts w:hint="eastAsia" w:ascii="仿宋_GB2312" w:hAnsi="仿宋_GB2312" w:eastAsia="仿宋_GB2312" w:cs="仿宋_GB2312"/>
                <w:color w:val="000000" w:themeColor="text1"/>
                <w:spacing w:val="-3"/>
                <w:sz w:val="21"/>
                <w:szCs w:val="21"/>
              </w:rPr>
              <w:t xml:space="preserve">市、 </w:t>
            </w:r>
            <w:r>
              <w:rPr>
                <w:rFonts w:hint="eastAsia" w:ascii="仿宋_GB2312" w:hAnsi="仿宋_GB2312" w:eastAsia="仿宋_GB2312" w:cs="仿宋_GB2312"/>
                <w:color w:val="000000" w:themeColor="text1"/>
                <w:spacing w:val="-3"/>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宾馆、饭店厨房油烟气管道以及大型商业综合体共用油烟气管道未按照规定定期清洗的，逾期不改正的行政处罚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en-US"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【地方性法规】《南京市消防条例》第三十九条第三款</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人员密集场所、高层和地下公共建筑应当遵守有关消防安全规定，并符合下列要求：宾馆、饭店厨房油烟气管道以及大型商业综合体共用油烟气管道应当每季度至少清洗一次，并建立油烟气管道清洗记录。</w:t>
            </w:r>
          </w:p>
          <w:p>
            <w:pPr>
              <w:widowControl/>
              <w:ind w:firstLine="400" w:firstLineChars="200"/>
              <w:jc w:val="left"/>
              <w:textAlignment w:val="center"/>
              <w:rPr>
                <w:rFonts w:hint="eastAsia" w:ascii="仿宋_GB2312" w:hAnsi="仿宋_GB2312" w:eastAsia="仿宋_GB2312" w:cs="仿宋_GB2312"/>
                <w:snapToGrid w:val="0"/>
                <w:color w:val="000000" w:themeColor="text1"/>
                <w:kern w:val="0"/>
                <w:sz w:val="21"/>
                <w:szCs w:val="21"/>
                <w:lang w:val="en-US" w:eastAsia="zh-CN"/>
              </w:rPr>
            </w:pPr>
            <w:r>
              <w:rPr>
                <w:rFonts w:hint="eastAsia" w:ascii="仿宋_GB2312" w:hAnsi="仿宋_GB2312" w:eastAsia="仿宋_GB2312" w:cs="仿宋_GB2312"/>
                <w:color w:val="000000" w:themeColor="text1"/>
                <w:kern w:val="0"/>
                <w:sz w:val="20"/>
                <w:szCs w:val="20"/>
                <w:lang w:eastAsia="zh-CN"/>
              </w:rPr>
              <w:t>《南京市消防条例》第七十二条 违反本条例第三十九条第三款规定，宾馆、饭店厨房油烟气管道以及大型商业综合体共用油烟气管道未按照规定定期清洗的，由消防救援机构责令限期改正；逾期不改正的，处警告或者五百元以下罚款；造成严重后果的，处二千元以上二万元以下罚款。</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000000" w:themeColor="text1"/>
                <w:kern w:val="2"/>
                <w:sz w:val="21"/>
                <w:szCs w:val="22"/>
                <w:lang w:val="en-US" w:eastAsia="en-US" w:bidi="ar-SA"/>
              </w:rPr>
            </w:pPr>
            <w:r>
              <w:rPr>
                <w:rFonts w:hint="eastAsia" w:ascii="仿宋_GB2312" w:hAnsi="仿宋_GB2312" w:eastAsia="仿宋_GB2312" w:cs="仿宋_GB2312"/>
                <w:color w:val="000000" w:themeColor="text1"/>
                <w:spacing w:val="-12"/>
                <w:sz w:val="21"/>
                <w:szCs w:val="21"/>
              </w:rPr>
              <w:t>市、</w:t>
            </w:r>
            <w:r>
              <w:rPr>
                <w:rFonts w:hint="eastAsia" w:ascii="仿宋_GB2312" w:hAnsi="仿宋_GB2312" w:eastAsia="仿宋_GB2312" w:cs="仿宋_GB2312"/>
                <w:color w:val="000000" w:themeColor="text1"/>
                <w:sz w:val="21"/>
                <w:szCs w:val="21"/>
              </w:rPr>
              <w:t xml:space="preserve"> </w:t>
            </w:r>
            <w:r>
              <w:rPr>
                <w:rFonts w:hint="eastAsia" w:ascii="仿宋_GB2312" w:hAnsi="仿宋_GB2312" w:eastAsia="仿宋_GB2312" w:cs="仿宋_GB2312"/>
                <w:color w:val="000000" w:themeColor="text1"/>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设置消防控制室的单位未将消防设施运行状态信息接入城市消防远程监控中心监测系统的或者擅自拆除、停用联网设施和传输网络的，逾期不改正的行政处罚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val="en-US" w:eastAsia="zh-CN"/>
              </w:rPr>
            </w:pPr>
            <w:r>
              <w:rPr>
                <w:rFonts w:hint="eastAsia" w:ascii="仿宋_GB2312" w:hAnsi="仿宋_GB2312" w:eastAsia="仿宋_GB2312" w:cs="仿宋_GB2312"/>
                <w:color w:val="000000" w:themeColor="text1"/>
                <w:kern w:val="0"/>
                <w:sz w:val="20"/>
                <w:szCs w:val="20"/>
                <w:lang w:eastAsia="zh-CN"/>
              </w:rPr>
              <w:t>【地方性法规】《南京市消防条例》第五十二条第二款</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设置消防控制室的单位应当将消防设施运行状态信息接入城市消防远程监控中心监测系统并实时传输；保证联网设施和传输网络正常使用，不得擅自拆除或者停用。</w:t>
            </w:r>
          </w:p>
          <w:p>
            <w:pPr>
              <w:widowControl/>
              <w:ind w:firstLine="400" w:firstLineChars="200"/>
              <w:jc w:val="left"/>
              <w:textAlignment w:val="center"/>
              <w:rPr>
                <w:rFonts w:hint="eastAsia" w:ascii="仿宋_GB2312" w:hAnsi="仿宋_GB2312" w:eastAsia="仿宋_GB2312" w:cs="仿宋_GB2312"/>
                <w:snapToGrid w:val="0"/>
                <w:color w:val="000000" w:themeColor="text1"/>
                <w:kern w:val="0"/>
                <w:sz w:val="21"/>
                <w:szCs w:val="21"/>
                <w:lang w:val="en-US" w:eastAsia="zh-CN"/>
              </w:rPr>
            </w:pPr>
            <w:r>
              <w:rPr>
                <w:rFonts w:hint="eastAsia" w:ascii="仿宋_GB2312" w:hAnsi="仿宋_GB2312" w:eastAsia="仿宋_GB2312" w:cs="仿宋_GB2312"/>
                <w:color w:val="000000" w:themeColor="text1"/>
                <w:kern w:val="0"/>
                <w:sz w:val="20"/>
                <w:szCs w:val="20"/>
                <w:lang w:eastAsia="zh-CN"/>
              </w:rPr>
              <w:t>《南京市消防条例》</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第七十三条 违反本条例第五十二条第二款规定，设置消防控制室的单位未将消防设施运行状态信息接入城市消防远程监控中心监测系统的或者擅自拆除、停用联网设施和传输网络的，由消防救援机构责令限期改正；逾期不改正的，处一千元以上五千元以下罚款。</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000000" w:themeColor="text1"/>
                <w:kern w:val="2"/>
                <w:sz w:val="21"/>
                <w:szCs w:val="22"/>
                <w:lang w:val="en-US" w:eastAsia="en-US" w:bidi="ar-SA"/>
              </w:rPr>
            </w:pPr>
            <w:r>
              <w:rPr>
                <w:rFonts w:hint="eastAsia" w:ascii="仿宋_GB2312" w:hAnsi="仿宋_GB2312" w:eastAsia="仿宋_GB2312" w:cs="仿宋_GB2312"/>
                <w:color w:val="000000" w:themeColor="text1"/>
                <w:spacing w:val="-12"/>
                <w:sz w:val="21"/>
                <w:szCs w:val="21"/>
              </w:rPr>
              <w:t>市、</w:t>
            </w:r>
            <w:r>
              <w:rPr>
                <w:rFonts w:hint="eastAsia" w:ascii="仿宋_GB2312" w:hAnsi="仿宋_GB2312" w:eastAsia="仿宋_GB2312" w:cs="仿宋_GB2312"/>
                <w:color w:val="000000" w:themeColor="text1"/>
                <w:sz w:val="21"/>
                <w:szCs w:val="21"/>
              </w:rPr>
              <w:t xml:space="preserve"> </w:t>
            </w:r>
            <w:r>
              <w:rPr>
                <w:rFonts w:hint="eastAsia" w:ascii="仿宋_GB2312" w:hAnsi="仿宋_GB2312" w:eastAsia="仿宋_GB2312" w:cs="仿宋_GB2312"/>
                <w:color w:val="000000" w:themeColor="text1"/>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携带电动自行车或者其蓄电池进入住宅电梯或者户内，拒不听从劝阻、制止的行政处罚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【地方性法规】《南京市住宅物业管理条例》第五十六条第六项禁止下列影响物业管理区域公共安全的行为：（六）携带电动自行车或者其蓄电池进入住宅电梯或者户内；</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《南京市住宅物业管理条例》第八十二条第一项</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违反本条例第五十六条规定，有下列影响物业管理区域公共安全行为之一，拒不听从劝阻、制止的，由消防救援机构或者其委托的符合法定条件的组织按照下列规定进行处罚；构成违反治安管理行为的，依法给予治安管理处罚；构成犯罪的，依法追究刑事责任；造成他人人身、财产损害的，依法承担赔偿责任：</w:t>
            </w:r>
          </w:p>
          <w:p>
            <w:pPr>
              <w:widowControl/>
              <w:ind w:firstLine="400" w:firstLineChars="200"/>
              <w:jc w:val="left"/>
              <w:textAlignment w:val="center"/>
              <w:rPr>
                <w:rFonts w:hint="eastAsia" w:ascii="仿宋_GB2312" w:hAnsi="仿宋_GB2312" w:eastAsia="仿宋_GB2312" w:cs="仿宋_GB2312"/>
                <w:snapToGrid w:val="0"/>
                <w:color w:val="000000" w:themeColor="text1"/>
                <w:kern w:val="0"/>
                <w:sz w:val="21"/>
                <w:szCs w:val="21"/>
                <w:lang w:val="en-US" w:eastAsia="zh-CN"/>
              </w:rPr>
            </w:pPr>
            <w:r>
              <w:rPr>
                <w:rFonts w:hint="eastAsia" w:ascii="仿宋_GB2312" w:hAnsi="仿宋_GB2312" w:eastAsia="仿宋_GB2312" w:cs="仿宋_GB2312"/>
                <w:color w:val="000000" w:themeColor="text1"/>
                <w:kern w:val="0"/>
                <w:sz w:val="20"/>
                <w:szCs w:val="20"/>
                <w:lang w:eastAsia="zh-CN"/>
              </w:rPr>
              <w:t>（一）违反第六项规定，携带电动自行车或者其蓄电池进入住宅电梯的，处二百元以上一千元以下罚款；</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000000" w:themeColor="text1"/>
                <w:kern w:val="2"/>
                <w:sz w:val="21"/>
                <w:szCs w:val="22"/>
                <w:lang w:val="en-US" w:eastAsia="zh-CN" w:bidi="ar-SA"/>
              </w:rPr>
            </w:pPr>
            <w:r>
              <w:rPr>
                <w:rFonts w:hint="eastAsia" w:ascii="仿宋_GB2312" w:hAnsi="仿宋_GB2312" w:eastAsia="仿宋_GB2312" w:cs="仿宋_GB2312"/>
                <w:color w:val="000000" w:themeColor="text1"/>
                <w:spacing w:val="-12"/>
                <w:sz w:val="21"/>
                <w:szCs w:val="21"/>
              </w:rPr>
              <w:t>市、</w:t>
            </w:r>
            <w:r>
              <w:rPr>
                <w:rFonts w:hint="eastAsia" w:ascii="仿宋_GB2312" w:hAnsi="仿宋_GB2312" w:eastAsia="仿宋_GB2312" w:cs="仿宋_GB2312"/>
                <w:color w:val="000000" w:themeColor="text1"/>
                <w:sz w:val="21"/>
                <w:szCs w:val="21"/>
              </w:rPr>
              <w:t xml:space="preserve"> </w:t>
            </w:r>
            <w:r>
              <w:rPr>
                <w:rFonts w:hint="eastAsia" w:ascii="仿宋_GB2312" w:hAnsi="仿宋_GB2312" w:eastAsia="仿宋_GB2312" w:cs="仿宋_GB2312"/>
                <w:color w:val="000000" w:themeColor="text1"/>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违反用电安全要求私拉电线和插座为电动自行车充电，拒不听从劝阻、制止的行政处罚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【地方性法规】《南京市住宅物业管理条例》第五十六条第七项</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禁止下列影响物业管理区域公共安全的行为：（七）违反用电安全要求私拉电线和插座为电动自行车充电；</w:t>
            </w:r>
          </w:p>
          <w:p>
            <w:pPr>
              <w:widowControl/>
              <w:ind w:firstLine="400" w:firstLineChars="200"/>
              <w:jc w:val="left"/>
              <w:textAlignment w:val="center"/>
              <w:rPr>
                <w:rFonts w:hint="eastAsia" w:ascii="仿宋_GB2312" w:hAnsi="仿宋_GB2312" w:eastAsia="仿宋_GB2312" w:cs="仿宋_GB2312"/>
                <w:snapToGrid w:val="0"/>
                <w:color w:val="000000" w:themeColor="text1"/>
                <w:kern w:val="0"/>
                <w:sz w:val="21"/>
                <w:szCs w:val="21"/>
                <w:lang w:val="en-US" w:eastAsia="zh-CN"/>
              </w:rPr>
            </w:pPr>
            <w:r>
              <w:rPr>
                <w:rFonts w:hint="eastAsia" w:ascii="仿宋_GB2312" w:hAnsi="仿宋_GB2312" w:eastAsia="仿宋_GB2312" w:cs="仿宋_GB2312"/>
                <w:color w:val="000000" w:themeColor="text1"/>
                <w:kern w:val="0"/>
                <w:sz w:val="20"/>
                <w:szCs w:val="20"/>
                <w:lang w:eastAsia="zh-CN"/>
              </w:rPr>
              <w:t>《南京市住宅物业管理条例》第八十二条第二项</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违反本条例第五十六条规定，有下列影响物业管理区域公共安全行为之一，拒不听从劝阻、制止的，由消防救援机构或者其委托的符合法定条件的组织按照下列规定进行处罚；构成违反治安管理行为的，依法给予治安管理处罚；构成犯罪的，依法追究刑事责任；造成他人人身、财产损害的，依法承担赔偿责任：（二）违反第七项规定，未按照用电安全要求私拉电线和插座为电动自行车充电的，责令改正，处警告或者五百元以下罚款；</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color w:val="000000" w:themeColor="text1"/>
                <w:kern w:val="2"/>
                <w:sz w:val="21"/>
                <w:szCs w:val="22"/>
                <w:lang w:val="en-US" w:eastAsia="zh-CN" w:bidi="ar-SA"/>
              </w:rPr>
            </w:pP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在禁止区域停放电动自行车或者为电动自行车充电的，拒不听从劝阻、制止的行政处罚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【地方性法规】《南京市住宅物业管理条例》第五十六条第八项</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禁止下列影响物业管理区域公共安全的行为：（八）在住宅公共门厅、疏散通道、楼梯间、安全出口、不符合消防安全要求的架空层、消防车通道及其两侧影响通行的区域停放电动自行车或者为电动自行车充电；</w:t>
            </w:r>
          </w:p>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《南京市住宅物业管理条例》第八十二条第三项</w:t>
            </w:r>
            <w:r>
              <w:rPr>
                <w:rFonts w:hint="eastAsia" w:ascii="仿宋_GB2312" w:hAnsi="仿宋_GB2312" w:eastAsia="仿宋_GB2312" w:cs="仿宋_GB2312"/>
                <w:color w:val="000000" w:themeColor="text1"/>
                <w:kern w:val="0"/>
                <w:sz w:val="20"/>
                <w:szCs w:val="20"/>
                <w:lang w:val="en-US" w:eastAsia="zh-CN"/>
              </w:rPr>
              <w:t xml:space="preserve"> </w:t>
            </w:r>
            <w:r>
              <w:rPr>
                <w:rFonts w:hint="eastAsia" w:ascii="仿宋_GB2312" w:hAnsi="仿宋_GB2312" w:eastAsia="仿宋_GB2312" w:cs="仿宋_GB2312"/>
                <w:color w:val="000000" w:themeColor="text1"/>
                <w:kern w:val="0"/>
                <w:sz w:val="20"/>
                <w:szCs w:val="20"/>
                <w:lang w:eastAsia="zh-CN"/>
              </w:rPr>
              <w:t>违反本条例第五十六条规定，有下列影响物业管理区域公共安全行为之一，拒不听从劝阻、制止的，由消防救援机构或者其委托的符合法定条件的组织按照下列规定进行处罚；构成违反治安管理行为的，依法给予治安管理处罚；构成犯罪的，依法追究刑事责任；造成他人人身、财产损害的，依法承担赔偿责任：</w:t>
            </w:r>
          </w:p>
          <w:p>
            <w:pPr>
              <w:widowControl/>
              <w:ind w:firstLine="400" w:firstLineChars="200"/>
              <w:jc w:val="left"/>
              <w:textAlignment w:val="center"/>
              <w:rPr>
                <w:rFonts w:hint="eastAsia" w:ascii="仿宋_GB2312" w:hAnsi="仿宋_GB2312" w:eastAsia="仿宋_GB2312" w:cs="仿宋_GB2312"/>
                <w:snapToGrid w:val="0"/>
                <w:color w:val="000000" w:themeColor="text1"/>
                <w:kern w:val="0"/>
                <w:sz w:val="21"/>
                <w:szCs w:val="21"/>
                <w:lang w:val="en-US" w:eastAsia="zh-CN"/>
              </w:rPr>
            </w:pPr>
            <w:r>
              <w:rPr>
                <w:rFonts w:hint="eastAsia" w:ascii="仿宋_GB2312" w:hAnsi="仿宋_GB2312" w:eastAsia="仿宋_GB2312" w:cs="仿宋_GB2312"/>
                <w:color w:val="000000" w:themeColor="text1"/>
                <w:kern w:val="0"/>
                <w:sz w:val="20"/>
                <w:szCs w:val="20"/>
                <w:lang w:eastAsia="zh-CN"/>
              </w:rPr>
              <w:t>（三）违反第八项规定，在禁止区域停放电动自行车或者为电动自行车充电的，责令改正，对单位处五千元以上五万元以下罚款，对个人处警告或者五百元以下罚款。</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000000" w:themeColor="text1"/>
                <w:kern w:val="2"/>
                <w:sz w:val="21"/>
                <w:szCs w:val="22"/>
                <w:lang w:val="en-US" w:eastAsia="zh-CN" w:bidi="ar-SA"/>
              </w:rPr>
            </w:pPr>
            <w:r>
              <w:rPr>
                <w:rFonts w:hint="eastAsia" w:ascii="仿宋_GB2312" w:hAnsi="仿宋_GB2312" w:eastAsia="仿宋_GB2312" w:cs="仿宋_GB2312"/>
                <w:color w:val="000000" w:themeColor="text1"/>
                <w:spacing w:val="-12"/>
                <w:sz w:val="21"/>
                <w:szCs w:val="21"/>
              </w:rPr>
              <w:t>市、</w:t>
            </w:r>
            <w:r>
              <w:rPr>
                <w:rFonts w:hint="eastAsia" w:ascii="仿宋_GB2312" w:hAnsi="仿宋_GB2312" w:eastAsia="仿宋_GB2312" w:cs="仿宋_GB2312"/>
                <w:color w:val="000000" w:themeColor="text1"/>
                <w:sz w:val="21"/>
                <w:szCs w:val="21"/>
              </w:rPr>
              <w:t xml:space="preserve"> </w:t>
            </w:r>
            <w:r>
              <w:rPr>
                <w:rFonts w:hint="eastAsia" w:ascii="仿宋_GB2312" w:hAnsi="仿宋_GB2312" w:eastAsia="仿宋_GB2312" w:cs="仿宋_GB2312"/>
                <w:color w:val="000000" w:themeColor="text1"/>
                <w:sz w:val="21"/>
                <w:szCs w:val="21"/>
                <w:lang w:val="en-US" w:eastAsia="zh-CN"/>
              </w:rPr>
              <w:t>区</w:t>
            </w:r>
          </w:p>
        </w:tc>
        <w:tc>
          <w:tcPr>
            <w:tcW w:w="1377" w:type="dxa"/>
            <w:vAlign w:val="center"/>
          </w:tcPr>
          <w:p>
            <w:pPr>
              <w:spacing w:line="240" w:lineRule="exact"/>
              <w:rPr>
                <w:rFonts w:hint="eastAsia" w:ascii="仿宋_GB2312" w:hAnsi="仿宋_GB2312" w:eastAsia="仿宋_GB2312" w:cs="仿宋_GB2312"/>
                <w:color w:val="000000" w:themeColor="text1"/>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758" w:type="dxa"/>
            <w:vAlign w:val="center"/>
          </w:tcPr>
          <w:p>
            <w:pPr>
              <w:numPr>
                <w:ilvl w:val="0"/>
                <w:numId w:val="1"/>
              </w:numPr>
              <w:spacing w:line="240" w:lineRule="exact"/>
              <w:ind w:left="635" w:leftChars="0" w:firstLineChars="0"/>
              <w:jc w:val="center"/>
              <w:rPr>
                <w:rFonts w:ascii="仿宋_GB2312" w:hAnsi="仿宋_GB2312" w:eastAsia="仿宋_GB2312" w:cs="仿宋_GB2312"/>
                <w:color w:val="000000" w:themeColor="text1"/>
                <w:sz w:val="20"/>
                <w:szCs w:val="20"/>
              </w:rPr>
            </w:pPr>
          </w:p>
        </w:tc>
        <w:tc>
          <w:tcPr>
            <w:tcW w:w="3108"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携带电动自行车或者其蓄电池进入乘客电梯，拒不听从劝阻、制止的行政处罚</w:t>
            </w:r>
          </w:p>
        </w:tc>
        <w:tc>
          <w:tcPr>
            <w:tcW w:w="1659" w:type="dxa"/>
            <w:vAlign w:val="top"/>
          </w:tcPr>
          <w:p>
            <w:pPr>
              <w:pStyle w:val="4"/>
              <w:widowControl/>
              <w:spacing w:before="0" w:beforeAutospacing="0" w:after="0" w:afterAutospacing="0" w:line="400" w:lineRule="exact"/>
              <w:ind w:firstLine="420"/>
              <w:jc w:val="both"/>
              <w:rPr>
                <w:rFonts w:hint="eastAsia" w:ascii="仿宋_GB2312" w:hAnsi="仿宋_GB2312" w:eastAsia="仿宋_GB2312" w:cs="仿宋_GB2312"/>
                <w:color w:val="000000" w:themeColor="text1"/>
                <w:kern w:val="0"/>
                <w:sz w:val="20"/>
                <w:szCs w:val="20"/>
                <w:lang w:val="en-US" w:eastAsia="zh-CN" w:bidi="ar-SA"/>
              </w:rPr>
            </w:pPr>
            <w:r>
              <w:rPr>
                <w:rFonts w:hint="eastAsia" w:ascii="仿宋_GB2312" w:hAnsi="仿宋_GB2312" w:eastAsia="仿宋_GB2312" w:cs="仿宋_GB2312"/>
                <w:color w:val="000000" w:themeColor="text1"/>
                <w:kern w:val="0"/>
                <w:sz w:val="20"/>
                <w:szCs w:val="20"/>
                <w:lang w:val="en-US" w:eastAsia="zh-CN" w:bidi="ar-SA"/>
              </w:rPr>
              <w:t>行政处罚</w:t>
            </w:r>
          </w:p>
        </w:tc>
        <w:tc>
          <w:tcPr>
            <w:tcW w:w="3880" w:type="dxa"/>
            <w:vAlign w:val="top"/>
          </w:tcPr>
          <w:p>
            <w:pPr>
              <w:widowControl/>
              <w:ind w:firstLine="400" w:firstLineChars="200"/>
              <w:jc w:val="left"/>
              <w:textAlignment w:val="center"/>
              <w:rPr>
                <w:rFonts w:hint="eastAsia" w:ascii="仿宋_GB2312" w:hAnsi="仿宋_GB2312" w:eastAsia="仿宋_GB2312" w:cs="仿宋_GB2312"/>
                <w:color w:val="000000" w:themeColor="text1"/>
                <w:kern w:val="0"/>
                <w:sz w:val="20"/>
                <w:szCs w:val="20"/>
                <w:lang w:eastAsia="zh-CN"/>
              </w:rPr>
            </w:pPr>
            <w:r>
              <w:rPr>
                <w:rFonts w:hint="eastAsia" w:ascii="仿宋_GB2312" w:hAnsi="仿宋_GB2312" w:eastAsia="仿宋_GB2312" w:cs="仿宋_GB2312"/>
                <w:color w:val="000000" w:themeColor="text1"/>
                <w:kern w:val="0"/>
                <w:sz w:val="20"/>
                <w:szCs w:val="20"/>
                <w:lang w:eastAsia="zh-CN"/>
              </w:rPr>
              <w:t>【地方性法规】</w:t>
            </w:r>
            <w:r>
              <w:rPr>
                <w:rFonts w:hint="eastAsia" w:ascii="仿宋_GB2312" w:hAnsi="仿宋_GB2312" w:eastAsia="仿宋_GB2312" w:cs="仿宋_GB2312"/>
                <w:color w:val="000000" w:themeColor="text1"/>
                <w:kern w:val="0"/>
                <w:sz w:val="20"/>
                <w:szCs w:val="20"/>
                <w:lang w:val="en-US" w:eastAsia="zh-CN"/>
              </w:rPr>
              <w:t>《南京市电梯安全条例》第三十二条第二款 禁止携带电动自行车或者其蓄电池进入乘客电梯。电梯使用单位、业主委员会、业主和其他乘用人有权劝阻、制止携带电动自行车或者其蓄电池进入电梯；对不听劝阻、制止的，应当及时向消防救援机构报告</w:t>
            </w:r>
            <w:r>
              <w:rPr>
                <w:rFonts w:hint="eastAsia" w:ascii="仿宋_GB2312" w:hAnsi="仿宋_GB2312" w:eastAsia="仿宋_GB2312" w:cs="仿宋_GB2312"/>
                <w:color w:val="000000" w:themeColor="text1"/>
                <w:kern w:val="0"/>
                <w:sz w:val="20"/>
                <w:szCs w:val="20"/>
                <w:lang w:eastAsia="zh-CN"/>
              </w:rPr>
              <w:t>。</w:t>
            </w:r>
          </w:p>
          <w:p>
            <w:pPr>
              <w:widowControl/>
              <w:ind w:firstLine="400" w:firstLineChars="200"/>
              <w:jc w:val="left"/>
              <w:textAlignment w:val="center"/>
              <w:rPr>
                <w:rFonts w:hint="eastAsia" w:ascii="方正仿宋_GBK" w:hAnsi="方正仿宋_GBK" w:eastAsia="方正仿宋_GBK" w:cs="方正仿宋_GBK"/>
                <w:color w:val="000000" w:themeColor="text1"/>
                <w:kern w:val="2"/>
                <w:sz w:val="21"/>
                <w:szCs w:val="21"/>
                <w:lang w:val="en-US" w:eastAsia="zh-CN" w:bidi="ar-SA"/>
              </w:rPr>
            </w:pPr>
            <w:r>
              <w:rPr>
                <w:rFonts w:hint="eastAsia" w:ascii="仿宋_GB2312" w:hAnsi="仿宋_GB2312" w:eastAsia="仿宋_GB2312" w:cs="仿宋_GB2312"/>
                <w:color w:val="000000" w:themeColor="text1"/>
                <w:kern w:val="0"/>
                <w:sz w:val="20"/>
                <w:szCs w:val="20"/>
                <w:lang w:val="en-US" w:eastAsia="zh-CN"/>
              </w:rPr>
              <w:t>《南京市电梯安全条例》第六十条 乘客违反本条例第三十二条第二款规定，携带电动自行车或者其蓄电池进入乘客电梯，拒不听从劝阻、制止的，由消防救援机构处以二百元以上一千元以下罚款；构成违反治安管理行为的，依法给予治安管理处罚；构成犯罪的，依法追究刑事责任；造成他人人身、财产损害的，依法承担赔偿责任。</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Arial" w:hAnsiTheme="minorHAnsi" w:eastAsiaTheme="minorEastAsia" w:cstheme="minorBidi"/>
                <w:color w:val="000000" w:themeColor="text1"/>
                <w:kern w:val="2"/>
                <w:sz w:val="21"/>
                <w:szCs w:val="22"/>
                <w:lang w:val="en-US" w:eastAsia="zh-CN" w:bidi="ar-SA"/>
              </w:rPr>
            </w:pPr>
            <w:r>
              <w:rPr>
                <w:rFonts w:hint="eastAsia" w:ascii="方正仿宋_GBK" w:hAnsi="方正仿宋_GBK" w:eastAsia="方正仿宋_GBK" w:cs="方正仿宋_GBK"/>
                <w:color w:val="000000" w:themeColor="text1"/>
                <w:spacing w:val="-12"/>
                <w:sz w:val="21"/>
                <w:szCs w:val="21"/>
              </w:rPr>
              <w:t>市、</w:t>
            </w:r>
            <w:r>
              <w:rPr>
                <w:rFonts w:hint="eastAsia" w:ascii="方正仿宋_GBK" w:hAnsi="方正仿宋_GBK" w:eastAsia="方正仿宋_GBK" w:cs="方正仿宋_GBK"/>
                <w:color w:val="000000" w:themeColor="text1"/>
                <w:sz w:val="21"/>
                <w:szCs w:val="21"/>
              </w:rPr>
              <w:t xml:space="preserve"> </w:t>
            </w:r>
            <w:r>
              <w:rPr>
                <w:rFonts w:hint="eastAsia" w:ascii="方正仿宋_GBK" w:hAnsi="方正仿宋_GBK" w:eastAsia="方正仿宋_GBK" w:cs="方正仿宋_GBK"/>
                <w:color w:val="000000" w:themeColor="text1"/>
                <w:sz w:val="21"/>
                <w:szCs w:val="21"/>
                <w:lang w:val="en-US" w:eastAsia="zh-CN"/>
              </w:rPr>
              <w:t>区</w:t>
            </w:r>
          </w:p>
        </w:tc>
        <w:tc>
          <w:tcPr>
            <w:tcW w:w="1377" w:type="dxa"/>
            <w:vAlign w:val="center"/>
          </w:tcPr>
          <w:p>
            <w:pPr>
              <w:spacing w:line="240" w:lineRule="exact"/>
              <w:rPr>
                <w:rFonts w:ascii="仿宋_GB2312" w:hAnsi="仿宋_GB2312" w:eastAsia="仿宋_GB2312" w:cs="仿宋_GB2312"/>
                <w:color w:val="000000" w:themeColor="text1"/>
                <w:sz w:val="20"/>
                <w:szCs w:val="20"/>
              </w:rPr>
            </w:pPr>
          </w:p>
        </w:tc>
      </w:tr>
    </w:tbl>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2B3AA8"/>
    <w:multiLevelType w:val="singleLevel"/>
    <w:tmpl w:val="542B3AA8"/>
    <w:lvl w:ilvl="0" w:tentative="0">
      <w:start w:val="4"/>
      <w:numFmt w:val="chineseCounting"/>
      <w:suff w:val="nothing"/>
      <w:lvlText w:val="（%1）"/>
      <w:lvlJc w:val="left"/>
      <w:rPr>
        <w:rFonts w:hint="eastAsia"/>
      </w:rPr>
    </w:lvl>
  </w:abstractNum>
  <w:abstractNum w:abstractNumId="1">
    <w:nsid w:val="5D9A1012"/>
    <w:multiLevelType w:val="singleLevel"/>
    <w:tmpl w:val="5D9A1012"/>
    <w:lvl w:ilvl="0" w:tentative="0">
      <w:start w:val="1"/>
      <w:numFmt w:val="decimal"/>
      <w:lvlText w:val="%1"/>
      <w:lvlJc w:val="left"/>
      <w:pPr>
        <w:tabs>
          <w:tab w:val="left" w:pos="420"/>
        </w:tabs>
        <w:ind w:left="63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k5ZjQyZmI2OTg3YWExZGU5YTNlMjcwOTI4ODVlYTEifQ=="/>
  </w:docVars>
  <w:rsids>
    <w:rsidRoot w:val="49FC5422"/>
    <w:rsid w:val="00026085"/>
    <w:rsid w:val="000452F6"/>
    <w:rsid w:val="000C6DB2"/>
    <w:rsid w:val="000F6E0B"/>
    <w:rsid w:val="002406E6"/>
    <w:rsid w:val="00270DA8"/>
    <w:rsid w:val="00300086"/>
    <w:rsid w:val="00320E15"/>
    <w:rsid w:val="00346C5F"/>
    <w:rsid w:val="003D028C"/>
    <w:rsid w:val="003F66C3"/>
    <w:rsid w:val="004301C3"/>
    <w:rsid w:val="004339B5"/>
    <w:rsid w:val="004703EE"/>
    <w:rsid w:val="004A1688"/>
    <w:rsid w:val="004B04B1"/>
    <w:rsid w:val="004B0802"/>
    <w:rsid w:val="00501B36"/>
    <w:rsid w:val="005270F3"/>
    <w:rsid w:val="00583BC9"/>
    <w:rsid w:val="00610988"/>
    <w:rsid w:val="0061206F"/>
    <w:rsid w:val="00620AA0"/>
    <w:rsid w:val="0062186C"/>
    <w:rsid w:val="00625801"/>
    <w:rsid w:val="00736F6C"/>
    <w:rsid w:val="007566A4"/>
    <w:rsid w:val="0076112B"/>
    <w:rsid w:val="008D5729"/>
    <w:rsid w:val="009248B9"/>
    <w:rsid w:val="00937018"/>
    <w:rsid w:val="009A1EB4"/>
    <w:rsid w:val="009E0E55"/>
    <w:rsid w:val="00A05521"/>
    <w:rsid w:val="00AA3E2F"/>
    <w:rsid w:val="00AD558A"/>
    <w:rsid w:val="00BC0262"/>
    <w:rsid w:val="00C27293"/>
    <w:rsid w:val="00C56F52"/>
    <w:rsid w:val="00C924F5"/>
    <w:rsid w:val="00CC2656"/>
    <w:rsid w:val="00CF72F6"/>
    <w:rsid w:val="00D70859"/>
    <w:rsid w:val="00D71B32"/>
    <w:rsid w:val="00D9182A"/>
    <w:rsid w:val="00D9592A"/>
    <w:rsid w:val="00D9645A"/>
    <w:rsid w:val="00D97FE9"/>
    <w:rsid w:val="00DA3B26"/>
    <w:rsid w:val="00DD19E8"/>
    <w:rsid w:val="00E433AF"/>
    <w:rsid w:val="00EA2E8E"/>
    <w:rsid w:val="00F41961"/>
    <w:rsid w:val="00F5423A"/>
    <w:rsid w:val="00F83CF4"/>
    <w:rsid w:val="00FF0D78"/>
    <w:rsid w:val="011473B7"/>
    <w:rsid w:val="01303AC5"/>
    <w:rsid w:val="014E3808"/>
    <w:rsid w:val="017F4DC5"/>
    <w:rsid w:val="01995B0E"/>
    <w:rsid w:val="01F1594A"/>
    <w:rsid w:val="02B03562"/>
    <w:rsid w:val="02E24D17"/>
    <w:rsid w:val="03103BAE"/>
    <w:rsid w:val="03BD3D36"/>
    <w:rsid w:val="03E91179"/>
    <w:rsid w:val="03F84D6E"/>
    <w:rsid w:val="04055B6C"/>
    <w:rsid w:val="04131BA8"/>
    <w:rsid w:val="047168CE"/>
    <w:rsid w:val="04A967B2"/>
    <w:rsid w:val="052D6C99"/>
    <w:rsid w:val="053242B0"/>
    <w:rsid w:val="05865D17"/>
    <w:rsid w:val="05C84C14"/>
    <w:rsid w:val="05F2725B"/>
    <w:rsid w:val="06224324"/>
    <w:rsid w:val="06367DD0"/>
    <w:rsid w:val="067B694C"/>
    <w:rsid w:val="07510D82"/>
    <w:rsid w:val="07AD3DFB"/>
    <w:rsid w:val="07B54D24"/>
    <w:rsid w:val="084D1FE2"/>
    <w:rsid w:val="085207C5"/>
    <w:rsid w:val="08C16076"/>
    <w:rsid w:val="09137F54"/>
    <w:rsid w:val="09383E5F"/>
    <w:rsid w:val="09644C54"/>
    <w:rsid w:val="09EA33AB"/>
    <w:rsid w:val="0A284881"/>
    <w:rsid w:val="0A621193"/>
    <w:rsid w:val="0A872B32"/>
    <w:rsid w:val="0AD85662"/>
    <w:rsid w:val="0B057D70"/>
    <w:rsid w:val="0BE439B0"/>
    <w:rsid w:val="0BE61950"/>
    <w:rsid w:val="0C547201"/>
    <w:rsid w:val="0D0759E7"/>
    <w:rsid w:val="0D352B8F"/>
    <w:rsid w:val="0DCE553E"/>
    <w:rsid w:val="0E0709EF"/>
    <w:rsid w:val="0E372937"/>
    <w:rsid w:val="0E4212EC"/>
    <w:rsid w:val="0E80608C"/>
    <w:rsid w:val="0F4470B9"/>
    <w:rsid w:val="0F503CB0"/>
    <w:rsid w:val="0F8B4CE8"/>
    <w:rsid w:val="0FF87EA4"/>
    <w:rsid w:val="102620BF"/>
    <w:rsid w:val="1087799F"/>
    <w:rsid w:val="108A4FA0"/>
    <w:rsid w:val="10DE52EC"/>
    <w:rsid w:val="112076B2"/>
    <w:rsid w:val="11592BC4"/>
    <w:rsid w:val="121677A2"/>
    <w:rsid w:val="123A29F6"/>
    <w:rsid w:val="124F64A1"/>
    <w:rsid w:val="12C97CF4"/>
    <w:rsid w:val="12D93FBD"/>
    <w:rsid w:val="12DC3AAD"/>
    <w:rsid w:val="143F00BB"/>
    <w:rsid w:val="14BF71E2"/>
    <w:rsid w:val="15243537"/>
    <w:rsid w:val="15B53438"/>
    <w:rsid w:val="15EA028F"/>
    <w:rsid w:val="16005D04"/>
    <w:rsid w:val="163E5980"/>
    <w:rsid w:val="16A448E1"/>
    <w:rsid w:val="16B10F96"/>
    <w:rsid w:val="16C23CB7"/>
    <w:rsid w:val="16F969DB"/>
    <w:rsid w:val="17011207"/>
    <w:rsid w:val="17321EED"/>
    <w:rsid w:val="174642BF"/>
    <w:rsid w:val="17773DA4"/>
    <w:rsid w:val="178818B3"/>
    <w:rsid w:val="17AF09B5"/>
    <w:rsid w:val="17E717CA"/>
    <w:rsid w:val="18E216F2"/>
    <w:rsid w:val="18E5190D"/>
    <w:rsid w:val="191B74A6"/>
    <w:rsid w:val="1948751B"/>
    <w:rsid w:val="198037BF"/>
    <w:rsid w:val="19AC5F87"/>
    <w:rsid w:val="19B46737"/>
    <w:rsid w:val="19B968F6"/>
    <w:rsid w:val="1A330456"/>
    <w:rsid w:val="1A5A3C35"/>
    <w:rsid w:val="1AAE3F81"/>
    <w:rsid w:val="1B132036"/>
    <w:rsid w:val="1BF73705"/>
    <w:rsid w:val="1C676ADD"/>
    <w:rsid w:val="1E2E78B2"/>
    <w:rsid w:val="1E42510C"/>
    <w:rsid w:val="1E674B72"/>
    <w:rsid w:val="1EBA7398"/>
    <w:rsid w:val="1EEC32CA"/>
    <w:rsid w:val="1EFF124F"/>
    <w:rsid w:val="1F5C21FD"/>
    <w:rsid w:val="1F71101F"/>
    <w:rsid w:val="1F941997"/>
    <w:rsid w:val="1FEF4E1F"/>
    <w:rsid w:val="200843F5"/>
    <w:rsid w:val="20270A5D"/>
    <w:rsid w:val="20987265"/>
    <w:rsid w:val="210A1F1F"/>
    <w:rsid w:val="21294361"/>
    <w:rsid w:val="219914E7"/>
    <w:rsid w:val="21A338D0"/>
    <w:rsid w:val="22205764"/>
    <w:rsid w:val="22A1561E"/>
    <w:rsid w:val="22C407E5"/>
    <w:rsid w:val="230961F8"/>
    <w:rsid w:val="233139A1"/>
    <w:rsid w:val="23A75A11"/>
    <w:rsid w:val="24280900"/>
    <w:rsid w:val="243A68A0"/>
    <w:rsid w:val="243E0123"/>
    <w:rsid w:val="24A92276"/>
    <w:rsid w:val="24EC5DD1"/>
    <w:rsid w:val="25641E0C"/>
    <w:rsid w:val="258778A8"/>
    <w:rsid w:val="260B2287"/>
    <w:rsid w:val="260E7FC9"/>
    <w:rsid w:val="261750D0"/>
    <w:rsid w:val="261C26E6"/>
    <w:rsid w:val="26571970"/>
    <w:rsid w:val="26C0675A"/>
    <w:rsid w:val="273121C1"/>
    <w:rsid w:val="27540790"/>
    <w:rsid w:val="276E6F72"/>
    <w:rsid w:val="277976C4"/>
    <w:rsid w:val="282633A8"/>
    <w:rsid w:val="28E82D54"/>
    <w:rsid w:val="290F6532"/>
    <w:rsid w:val="29C235A5"/>
    <w:rsid w:val="2A914F8C"/>
    <w:rsid w:val="2ACB6A10"/>
    <w:rsid w:val="2B0B4AD7"/>
    <w:rsid w:val="2B2E5161"/>
    <w:rsid w:val="2B732DA8"/>
    <w:rsid w:val="2BB94533"/>
    <w:rsid w:val="2CE675AA"/>
    <w:rsid w:val="2D197980"/>
    <w:rsid w:val="2D282E05"/>
    <w:rsid w:val="2DAB5DC6"/>
    <w:rsid w:val="2DDB06F3"/>
    <w:rsid w:val="2DFD104F"/>
    <w:rsid w:val="2E075A2A"/>
    <w:rsid w:val="2E402CEA"/>
    <w:rsid w:val="2E6C3ADF"/>
    <w:rsid w:val="2E731311"/>
    <w:rsid w:val="2EF835C5"/>
    <w:rsid w:val="2F097580"/>
    <w:rsid w:val="2F615F3F"/>
    <w:rsid w:val="2F807842"/>
    <w:rsid w:val="300035D5"/>
    <w:rsid w:val="31271F3F"/>
    <w:rsid w:val="317C734D"/>
    <w:rsid w:val="319D04B7"/>
    <w:rsid w:val="31A812D2"/>
    <w:rsid w:val="328C7E4C"/>
    <w:rsid w:val="32A95202"/>
    <w:rsid w:val="32B11C3C"/>
    <w:rsid w:val="32B53CA7"/>
    <w:rsid w:val="33484B1B"/>
    <w:rsid w:val="334B3F00"/>
    <w:rsid w:val="33680D19"/>
    <w:rsid w:val="33ED56C2"/>
    <w:rsid w:val="350C1B78"/>
    <w:rsid w:val="351F18AB"/>
    <w:rsid w:val="358B0CEF"/>
    <w:rsid w:val="35F25212"/>
    <w:rsid w:val="36056CF3"/>
    <w:rsid w:val="366F0610"/>
    <w:rsid w:val="36CF1E2D"/>
    <w:rsid w:val="372737DC"/>
    <w:rsid w:val="37461371"/>
    <w:rsid w:val="37895702"/>
    <w:rsid w:val="37B7226F"/>
    <w:rsid w:val="38195F62"/>
    <w:rsid w:val="382D11E9"/>
    <w:rsid w:val="386E134F"/>
    <w:rsid w:val="391B682D"/>
    <w:rsid w:val="397208C0"/>
    <w:rsid w:val="3A347BA7"/>
    <w:rsid w:val="3AD849D6"/>
    <w:rsid w:val="3ADE5D64"/>
    <w:rsid w:val="3B0D21A6"/>
    <w:rsid w:val="3BDA477E"/>
    <w:rsid w:val="3BF82E56"/>
    <w:rsid w:val="3C08753D"/>
    <w:rsid w:val="3C1732DC"/>
    <w:rsid w:val="3C3D6ABB"/>
    <w:rsid w:val="3CB3000D"/>
    <w:rsid w:val="3CF8135F"/>
    <w:rsid w:val="3D9237DD"/>
    <w:rsid w:val="3DAC3EF8"/>
    <w:rsid w:val="3E18158D"/>
    <w:rsid w:val="3E2148E6"/>
    <w:rsid w:val="3E513D1E"/>
    <w:rsid w:val="3E946E66"/>
    <w:rsid w:val="3F464604"/>
    <w:rsid w:val="407537DB"/>
    <w:rsid w:val="408F1FDB"/>
    <w:rsid w:val="40A610D2"/>
    <w:rsid w:val="41035327"/>
    <w:rsid w:val="41270465"/>
    <w:rsid w:val="41C71300"/>
    <w:rsid w:val="425D777C"/>
    <w:rsid w:val="4269060A"/>
    <w:rsid w:val="42772D26"/>
    <w:rsid w:val="427776FE"/>
    <w:rsid w:val="42905B96"/>
    <w:rsid w:val="42DC0DDB"/>
    <w:rsid w:val="432033BE"/>
    <w:rsid w:val="43C31F9B"/>
    <w:rsid w:val="44654E01"/>
    <w:rsid w:val="44A92F3F"/>
    <w:rsid w:val="44FD3D9F"/>
    <w:rsid w:val="458563B0"/>
    <w:rsid w:val="45997458"/>
    <w:rsid w:val="459E4A6E"/>
    <w:rsid w:val="45AB2CE7"/>
    <w:rsid w:val="45FD1795"/>
    <w:rsid w:val="466510E8"/>
    <w:rsid w:val="468974CC"/>
    <w:rsid w:val="46EA1C17"/>
    <w:rsid w:val="47170634"/>
    <w:rsid w:val="471C5C4A"/>
    <w:rsid w:val="481903DC"/>
    <w:rsid w:val="488717E9"/>
    <w:rsid w:val="48965ED0"/>
    <w:rsid w:val="48A95C04"/>
    <w:rsid w:val="48CC544E"/>
    <w:rsid w:val="49015DD7"/>
    <w:rsid w:val="49521DF7"/>
    <w:rsid w:val="49E1317B"/>
    <w:rsid w:val="49E72DEA"/>
    <w:rsid w:val="49FC5422"/>
    <w:rsid w:val="49FC7FB5"/>
    <w:rsid w:val="4A630034"/>
    <w:rsid w:val="4A8F3FE1"/>
    <w:rsid w:val="4AAE12AF"/>
    <w:rsid w:val="4AC22FAD"/>
    <w:rsid w:val="4AD131F0"/>
    <w:rsid w:val="4AEB42B2"/>
    <w:rsid w:val="4B840262"/>
    <w:rsid w:val="4C5639AD"/>
    <w:rsid w:val="4CA24E44"/>
    <w:rsid w:val="4CA50490"/>
    <w:rsid w:val="4D3A507C"/>
    <w:rsid w:val="4D754306"/>
    <w:rsid w:val="4D844549"/>
    <w:rsid w:val="4DA22C22"/>
    <w:rsid w:val="4E2722D1"/>
    <w:rsid w:val="4E881E17"/>
    <w:rsid w:val="4FA12577"/>
    <w:rsid w:val="4FDF015D"/>
    <w:rsid w:val="505A77E4"/>
    <w:rsid w:val="50B67110"/>
    <w:rsid w:val="51226553"/>
    <w:rsid w:val="51346287"/>
    <w:rsid w:val="51A90A23"/>
    <w:rsid w:val="51E47CAD"/>
    <w:rsid w:val="52344EE2"/>
    <w:rsid w:val="525C7843"/>
    <w:rsid w:val="529E7E5B"/>
    <w:rsid w:val="52A116FA"/>
    <w:rsid w:val="52E15F9A"/>
    <w:rsid w:val="53690469"/>
    <w:rsid w:val="538452A3"/>
    <w:rsid w:val="53C4638F"/>
    <w:rsid w:val="53FD5056"/>
    <w:rsid w:val="54505185"/>
    <w:rsid w:val="54AA0D3A"/>
    <w:rsid w:val="55D10548"/>
    <w:rsid w:val="56187F25"/>
    <w:rsid w:val="5629516C"/>
    <w:rsid w:val="56682C5A"/>
    <w:rsid w:val="569577C7"/>
    <w:rsid w:val="56972662"/>
    <w:rsid w:val="56C43C09"/>
    <w:rsid w:val="56EA7B13"/>
    <w:rsid w:val="57234DD3"/>
    <w:rsid w:val="57566F57"/>
    <w:rsid w:val="57691D07"/>
    <w:rsid w:val="57712A90"/>
    <w:rsid w:val="5787339A"/>
    <w:rsid w:val="578810DA"/>
    <w:rsid w:val="57E52089"/>
    <w:rsid w:val="585316E8"/>
    <w:rsid w:val="58675193"/>
    <w:rsid w:val="59004782"/>
    <w:rsid w:val="591075D9"/>
    <w:rsid w:val="59604D2F"/>
    <w:rsid w:val="596F60AE"/>
    <w:rsid w:val="59D803A9"/>
    <w:rsid w:val="59E16EB9"/>
    <w:rsid w:val="5A0E7640"/>
    <w:rsid w:val="5A46674E"/>
    <w:rsid w:val="5AF85079"/>
    <w:rsid w:val="5AFC7E15"/>
    <w:rsid w:val="5C4C6B7A"/>
    <w:rsid w:val="5DBE5856"/>
    <w:rsid w:val="5DC10EA2"/>
    <w:rsid w:val="5DC6470A"/>
    <w:rsid w:val="5E015742"/>
    <w:rsid w:val="5E394EDC"/>
    <w:rsid w:val="5EA93E10"/>
    <w:rsid w:val="5EE72B8A"/>
    <w:rsid w:val="5F13572D"/>
    <w:rsid w:val="5F217E4A"/>
    <w:rsid w:val="5FBC7B73"/>
    <w:rsid w:val="5FE418AB"/>
    <w:rsid w:val="6033585B"/>
    <w:rsid w:val="60D219AA"/>
    <w:rsid w:val="61377DF9"/>
    <w:rsid w:val="61AD00BB"/>
    <w:rsid w:val="61F813CF"/>
    <w:rsid w:val="62233ED9"/>
    <w:rsid w:val="62966DA1"/>
    <w:rsid w:val="62BD60DC"/>
    <w:rsid w:val="62CB2478"/>
    <w:rsid w:val="632A6B3D"/>
    <w:rsid w:val="63732C3E"/>
    <w:rsid w:val="63775DD3"/>
    <w:rsid w:val="64504D2E"/>
    <w:rsid w:val="64992B79"/>
    <w:rsid w:val="64AB4917"/>
    <w:rsid w:val="64FC6110"/>
    <w:rsid w:val="65290C3F"/>
    <w:rsid w:val="6545060B"/>
    <w:rsid w:val="65C40356"/>
    <w:rsid w:val="65F8567D"/>
    <w:rsid w:val="6618187B"/>
    <w:rsid w:val="66864116"/>
    <w:rsid w:val="66C13CC1"/>
    <w:rsid w:val="670544F5"/>
    <w:rsid w:val="670F2C7E"/>
    <w:rsid w:val="677A27ED"/>
    <w:rsid w:val="67967E45"/>
    <w:rsid w:val="67BD092C"/>
    <w:rsid w:val="681F5143"/>
    <w:rsid w:val="69196036"/>
    <w:rsid w:val="698C6808"/>
    <w:rsid w:val="69B55D5F"/>
    <w:rsid w:val="6A892D47"/>
    <w:rsid w:val="6B134AF7"/>
    <w:rsid w:val="6BDF70C3"/>
    <w:rsid w:val="6C21528D"/>
    <w:rsid w:val="6C8163CC"/>
    <w:rsid w:val="6D237483"/>
    <w:rsid w:val="6D2A25C0"/>
    <w:rsid w:val="6D3276C6"/>
    <w:rsid w:val="6D350F65"/>
    <w:rsid w:val="6DA305C4"/>
    <w:rsid w:val="6DEA7FA1"/>
    <w:rsid w:val="6E113780"/>
    <w:rsid w:val="6E313E22"/>
    <w:rsid w:val="6E6C4B82"/>
    <w:rsid w:val="6E8C2E06"/>
    <w:rsid w:val="6EEA564F"/>
    <w:rsid w:val="6EF966EE"/>
    <w:rsid w:val="6F232C57"/>
    <w:rsid w:val="6F481423"/>
    <w:rsid w:val="6F6F075E"/>
    <w:rsid w:val="6F7044D6"/>
    <w:rsid w:val="6F7915DC"/>
    <w:rsid w:val="6F906926"/>
    <w:rsid w:val="6FA32AFD"/>
    <w:rsid w:val="6FAC19B2"/>
    <w:rsid w:val="6FFA6C73"/>
    <w:rsid w:val="700F1F41"/>
    <w:rsid w:val="70567B70"/>
    <w:rsid w:val="708B7819"/>
    <w:rsid w:val="70992649"/>
    <w:rsid w:val="70BD374B"/>
    <w:rsid w:val="70DD5B9B"/>
    <w:rsid w:val="70EB650A"/>
    <w:rsid w:val="70FA674D"/>
    <w:rsid w:val="71211F2C"/>
    <w:rsid w:val="72181581"/>
    <w:rsid w:val="723C744B"/>
    <w:rsid w:val="72D51220"/>
    <w:rsid w:val="730438B3"/>
    <w:rsid w:val="7327134F"/>
    <w:rsid w:val="735222F8"/>
    <w:rsid w:val="73F24D69"/>
    <w:rsid w:val="74A94B3A"/>
    <w:rsid w:val="751822C0"/>
    <w:rsid w:val="759C6025"/>
    <w:rsid w:val="75E954AE"/>
    <w:rsid w:val="76EA5343"/>
    <w:rsid w:val="777234E1"/>
    <w:rsid w:val="77731007"/>
    <w:rsid w:val="77752FD1"/>
    <w:rsid w:val="77BD0907"/>
    <w:rsid w:val="786F4B2F"/>
    <w:rsid w:val="78745037"/>
    <w:rsid w:val="789B6A68"/>
    <w:rsid w:val="78B11DE7"/>
    <w:rsid w:val="79447E35"/>
    <w:rsid w:val="796B01E8"/>
    <w:rsid w:val="79DF0BD6"/>
    <w:rsid w:val="79DF4732"/>
    <w:rsid w:val="79ED6E4F"/>
    <w:rsid w:val="7B6E2211"/>
    <w:rsid w:val="7BD83B2F"/>
    <w:rsid w:val="7C5C650E"/>
    <w:rsid w:val="7C790E6E"/>
    <w:rsid w:val="7CC12815"/>
    <w:rsid w:val="7D2F3C22"/>
    <w:rsid w:val="7DEC75BF"/>
    <w:rsid w:val="7E17093E"/>
    <w:rsid w:val="7E2968C4"/>
    <w:rsid w:val="7E5F7F74"/>
    <w:rsid w:val="7E867872"/>
    <w:rsid w:val="7E933D3D"/>
    <w:rsid w:val="7E9A50CB"/>
    <w:rsid w:val="7FDD7966"/>
    <w:rsid w:val="7FFA22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微软雅黑" w:hAnsi="微软雅黑" w:eastAsia="微软雅黑" w:cs="微软雅黑"/>
      <w:sz w:val="24"/>
      <w:szCs w:val="24"/>
      <w:lang w:val="en-US" w:eastAsia="en-US" w:bidi="ar-SA"/>
    </w:rPr>
  </w:style>
  <w:style w:type="character" w:customStyle="1" w:styleId="10">
    <w:name w:val="font9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02D9-85C9-48D9-8451-5818D8C6A6F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3441</Words>
  <Characters>3445</Characters>
  <Lines>202</Lines>
  <Paragraphs>57</Paragraphs>
  <TotalTime>21</TotalTime>
  <ScaleCrop>false</ScaleCrop>
  <LinksUpToDate>false</LinksUpToDate>
  <CharactersWithSpaces>3493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2025-07-02T10:36:00Z</dcterms:created>
  <dc:creator>Vitch</dc:creator>
  <cp:lastModifiedBy>孙一丹</cp:lastModifiedBy>
  <cp:lastPrinted>2026-07-21T00:58:38Z</cp:lastPrinted>
  <dcterms:modified xsi:type="dcterms:W3CDTF">2026-07-21T01:00:29Z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F487D953C6C64330B775ABF1D2C608FC_13</vt:lpwstr>
  </property>
  <property fmtid="{D5CDD505-2E9C-101B-9397-08002B2CF9AE}" pid="4" name="KSOTemplateDocerSaveRecord">
    <vt:lpwstr>eyJoZGlkIjoiYzFhZGY0ZTViYWQyN2I0ZGJhNDk0OThkMjNkNmQ2MDYiLCJ1c2VySWQiOiIzMzA5MTA4NjYifQ==</vt:lpwstr>
  </property>
</Properties>
</file>